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W w:w="10530" w:type="dxa"/>
        <w:tblInd w:w="-882" w:type="dxa"/>
        <w:tblLayout w:type="fixed"/>
        <w:tblLook w:val="0000" w:firstRow="0" w:lastRow="0" w:firstColumn="0" w:lastColumn="0" w:noHBand="0" w:noVBand="0"/>
      </w:tblPr>
      <w:tblGrid>
        <w:gridCol w:w="7632"/>
        <w:gridCol w:w="2898"/>
      </w:tblGrid>
      <w:tr w:rsidRPr="00895D65" w:rsidR="0074707F" w:rsidTr="0049557F" w14:paraId="6F3BC58E" w14:textId="77777777">
        <w:trPr>
          <w:trHeight w:val="2070" w:hRule="exact"/>
        </w:trPr>
        <w:tc>
          <w:tcPr>
            <w:tcW w:w="7632" w:type="dxa"/>
          </w:tcPr>
          <w:p w:rsidRPr="00895D65" w:rsidR="00BE1FC7" w:rsidP="00895D65" w:rsidRDefault="00206D3A" w14:paraId="47C88DAA" w14:textId="13112165">
            <w:pPr>
              <w:spacing w:before="240" w:after="300" w:line="240" w:lineRule="auto"/>
              <w:ind w:left="162"/>
              <w:rPr>
                <w:rFonts w:ascii="Arial" w:hAnsi="Arial" w:cs="Arial"/>
                <w:b/>
                <w:bCs/>
              </w:rPr>
            </w:pPr>
            <w:r w:rsidRPr="00895D65">
              <w:rPr>
                <w:rFonts w:ascii="Arial" w:hAnsi="Arial" w:cs="Arial"/>
                <w:b/>
                <w:bCs/>
                <w:noProof/>
              </w:rPr>
              <w:drawing>
                <wp:anchor distT="0" distB="0" distL="114300" distR="114300" simplePos="0" relativeHeight="251658240" behindDoc="0" locked="0" layoutInCell="1" allowOverlap="1" wp14:anchorId="133AD8DD" wp14:editId="7E1F3FFE">
                  <wp:simplePos x="0" y="0"/>
                  <wp:positionH relativeFrom="column">
                    <wp:posOffset>242316</wp:posOffset>
                  </wp:positionH>
                  <wp:positionV relativeFrom="page">
                    <wp:posOffset>273050</wp:posOffset>
                  </wp:positionV>
                  <wp:extent cx="2717419" cy="793639"/>
                  <wp:effectExtent l="0" t="0" r="6985"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referRelativeResize="0"/>
                        </pic:nvPicPr>
                        <pic:blipFill>
                          <a:blip r:embed="rId12"/>
                          <a:stretch>
                            <a:fillRect/>
                          </a:stretch>
                        </pic:blipFill>
                        <pic:spPr>
                          <a:xfrm>
                            <a:off x="0" y="0"/>
                            <a:ext cx="2755872" cy="804869"/>
                          </a:xfrm>
                          <a:prstGeom prst="rect">
                            <a:avLst/>
                          </a:prstGeom>
                        </pic:spPr>
                      </pic:pic>
                    </a:graphicData>
                  </a:graphic>
                  <wp14:sizeRelH relativeFrom="page">
                    <wp14:pctWidth>0</wp14:pctWidth>
                  </wp14:sizeRelH>
                  <wp14:sizeRelV relativeFrom="page">
                    <wp14:pctHeight>0</wp14:pctHeight>
                  </wp14:sizeRelV>
                </wp:anchor>
              </w:drawing>
            </w:r>
          </w:p>
        </w:tc>
        <w:tc>
          <w:tcPr>
            <w:tcW w:w="2898" w:type="dxa"/>
          </w:tcPr>
          <w:p w:rsidR="00752BE5" w:rsidP="00895D65" w:rsidRDefault="00752BE5" w14:paraId="75C42A60" w14:textId="77777777">
            <w:pPr>
              <w:tabs>
                <w:tab w:val="left" w:pos="2808"/>
              </w:tabs>
              <w:spacing w:after="20" w:line="180" w:lineRule="exact"/>
              <w:jc w:val="right"/>
              <w:rPr>
                <w:color w:val="333399"/>
                <w:sz w:val="18"/>
                <w:szCs w:val="18"/>
              </w:rPr>
            </w:pPr>
            <w:bookmarkStart w:name="SenderName" w:id="0"/>
            <w:bookmarkEnd w:id="0"/>
          </w:p>
          <w:p w:rsidR="00752BE5" w:rsidP="00895D65" w:rsidRDefault="00752BE5" w14:paraId="22CA7876" w14:textId="77777777">
            <w:pPr>
              <w:tabs>
                <w:tab w:val="left" w:pos="2808"/>
              </w:tabs>
              <w:spacing w:after="20" w:line="180" w:lineRule="exact"/>
              <w:jc w:val="right"/>
              <w:rPr>
                <w:color w:val="333399"/>
                <w:sz w:val="18"/>
                <w:szCs w:val="18"/>
              </w:rPr>
            </w:pPr>
          </w:p>
          <w:p w:rsidR="00752BE5" w:rsidP="00895D65" w:rsidRDefault="00752BE5" w14:paraId="50A0C132" w14:textId="77777777">
            <w:pPr>
              <w:tabs>
                <w:tab w:val="left" w:pos="2808"/>
              </w:tabs>
              <w:spacing w:after="20" w:line="180" w:lineRule="exact"/>
              <w:jc w:val="right"/>
              <w:rPr>
                <w:color w:val="333399"/>
                <w:sz w:val="18"/>
                <w:szCs w:val="18"/>
              </w:rPr>
            </w:pPr>
          </w:p>
          <w:p w:rsidRPr="00895D65" w:rsidR="00BE1FC7" w:rsidP="00752BE5" w:rsidRDefault="00BE1FC7" w14:paraId="50C9F7FF" w14:textId="0CA13B4E">
            <w:pPr>
              <w:tabs>
                <w:tab w:val="left" w:pos="2808"/>
              </w:tabs>
              <w:spacing w:after="20" w:line="180" w:lineRule="exact"/>
              <w:jc w:val="right"/>
              <w:rPr>
                <w:rFonts w:ascii="Arial" w:hAnsi="Arial" w:cs="Arial"/>
                <w:sz w:val="14"/>
              </w:rPr>
            </w:pPr>
          </w:p>
        </w:tc>
      </w:tr>
    </w:tbl>
    <w:p w:rsidRPr="00895D65" w:rsidR="00BE1FC7" w:rsidP="00895D65" w:rsidRDefault="00BE1FC7" w14:paraId="6316C335" w14:textId="0181658F">
      <w:pPr>
        <w:rPr>
          <w:rFonts w:ascii="Arial" w:hAnsi="Arial" w:cs="Arial"/>
        </w:rPr>
        <w:sectPr w:rsidRPr="00895D65" w:rsidR="00BE1FC7" w:rsidSect="0049557F">
          <w:headerReference w:type="default" r:id="rId13"/>
          <w:footerReference w:type="default" r:id="rId14"/>
          <w:headerReference w:type="first" r:id="rId15"/>
          <w:footerReference w:type="first" r:id="rId16"/>
          <w:type w:val="continuous"/>
          <w:pgSz w:w="12240" w:h="15840" w:orient="portrait" w:code="1"/>
          <w:pgMar w:top="1440" w:right="1800" w:bottom="1440" w:left="1800" w:header="720" w:footer="360" w:gutter="0"/>
          <w:cols w:space="720"/>
          <w:formProt w:val="0"/>
          <w:docGrid w:linePitch="326"/>
        </w:sectPr>
      </w:pPr>
    </w:p>
    <w:p w:rsidRPr="00895D65" w:rsidR="0049557F" w:rsidP="00895D65" w:rsidRDefault="00E57F1D" w14:paraId="18E4AE8A" w14:textId="34DFB1AC">
      <w:pPr>
        <w:autoSpaceDE w:val="0"/>
        <w:autoSpaceDN w:val="0"/>
        <w:adjustRightInd w:val="0"/>
        <w:jc w:val="center"/>
        <w:rPr>
          <w:szCs w:val="24"/>
        </w:rPr>
      </w:pPr>
      <w:r>
        <w:rPr>
          <w:szCs w:val="24"/>
        </w:rPr>
        <w:fldChar w:fldCharType="begin"/>
      </w:r>
      <w:r>
        <w:rPr>
          <w:szCs w:val="24"/>
        </w:rPr>
        <w:instrText xml:space="preserve"> DATE \@ "MMMM d, yyyy" </w:instrText>
      </w:r>
      <w:r>
        <w:rPr>
          <w:szCs w:val="24"/>
        </w:rPr>
        <w:fldChar w:fldCharType="separate"/>
      </w:r>
      <w:r w:rsidR="00FF3DAF">
        <w:rPr>
          <w:noProof/>
          <w:szCs w:val="24"/>
        </w:rPr>
        <w:t>September 28, 2026</w:t>
      </w:r>
      <w:r>
        <w:rPr>
          <w:szCs w:val="24"/>
        </w:rPr>
        <w:fldChar w:fldCharType="end"/>
      </w:r>
    </w:p>
    <w:p w:rsidRPr="00895D65" w:rsidR="0049557F" w:rsidP="00895D65" w:rsidRDefault="00231642" w14:paraId="1C28D34C" w14:textId="004507D8">
      <w:pPr>
        <w:rPr>
          <w:szCs w:val="24"/>
        </w:rPr>
      </w:pPr>
      <w:r w:rsidRPr="00895D65">
        <w:rPr>
          <w:szCs w:val="24"/>
        </w:rPr>
        <w:t>Ms.</w:t>
      </w:r>
      <w:r w:rsidRPr="00895D65" w:rsidR="0049557F">
        <w:rPr>
          <w:szCs w:val="24"/>
        </w:rPr>
        <w:t xml:space="preserve"> </w:t>
      </w:r>
      <w:r w:rsidRPr="00895D65" w:rsidR="001E46C8">
        <w:rPr>
          <w:szCs w:val="24"/>
        </w:rPr>
        <w:t>Debbie-Ann Reese</w:t>
      </w:r>
      <w:r w:rsidRPr="00895D65">
        <w:rPr>
          <w:szCs w:val="24"/>
        </w:rPr>
        <w:t xml:space="preserve">, </w:t>
      </w:r>
      <w:r w:rsidRPr="00895D65" w:rsidR="0049557F">
        <w:rPr>
          <w:szCs w:val="24"/>
        </w:rPr>
        <w:t>Secretary</w:t>
      </w:r>
    </w:p>
    <w:p w:rsidRPr="00895D65" w:rsidR="0049557F" w:rsidP="00895D65" w:rsidRDefault="0049557F" w14:paraId="653EBB63" w14:textId="77777777">
      <w:pPr>
        <w:rPr>
          <w:szCs w:val="24"/>
        </w:rPr>
      </w:pPr>
      <w:r w:rsidRPr="00895D65">
        <w:rPr>
          <w:szCs w:val="24"/>
        </w:rPr>
        <w:t>Federal Energy Regulatory Commission</w:t>
      </w:r>
    </w:p>
    <w:p w:rsidRPr="00895D65" w:rsidR="0049557F" w:rsidP="00895D65" w:rsidRDefault="0049557F" w14:paraId="32A7A852" w14:textId="77777777">
      <w:pPr>
        <w:rPr>
          <w:szCs w:val="24"/>
        </w:rPr>
      </w:pPr>
      <w:r w:rsidRPr="00895D65">
        <w:rPr>
          <w:szCs w:val="24"/>
        </w:rPr>
        <w:t>888 First Street, NE</w:t>
      </w:r>
    </w:p>
    <w:p w:rsidRPr="00895D65" w:rsidR="0049557F" w:rsidP="00895D65" w:rsidRDefault="0049557F" w14:paraId="64F12615" w14:textId="77777777">
      <w:pPr>
        <w:spacing w:after="240"/>
        <w:rPr>
          <w:szCs w:val="24"/>
        </w:rPr>
      </w:pPr>
      <w:r w:rsidRPr="00895D65">
        <w:rPr>
          <w:szCs w:val="24"/>
        </w:rPr>
        <w:t>Washington, DC  20426</w:t>
      </w:r>
    </w:p>
    <w:p w:rsidRPr="00895D65" w:rsidR="009113D2" w:rsidP="00895D65" w:rsidRDefault="0049557F" w14:paraId="1640BF87" w14:textId="77777777">
      <w:pPr>
        <w:spacing w:line="240" w:lineRule="auto"/>
        <w:ind w:left="1440" w:hanging="720"/>
        <w:rPr>
          <w:b/>
          <w:bCs/>
          <w:szCs w:val="24"/>
        </w:rPr>
      </w:pPr>
      <w:r w:rsidRPr="00895D65">
        <w:rPr>
          <w:b/>
          <w:bCs/>
          <w:szCs w:val="24"/>
        </w:rPr>
        <w:t>Re:</w:t>
      </w:r>
      <w:r w:rsidRPr="00895D65">
        <w:rPr>
          <w:b/>
          <w:bCs/>
          <w:szCs w:val="24"/>
        </w:rPr>
        <w:tab/>
      </w:r>
      <w:r w:rsidRPr="00895D65">
        <w:rPr>
          <w:b/>
          <w:bCs/>
          <w:szCs w:val="24"/>
        </w:rPr>
        <w:t>San Diego Gas &amp; Electric Company</w:t>
      </w:r>
      <w:r w:rsidRPr="00895D65" w:rsidR="00231642">
        <w:rPr>
          <w:b/>
          <w:bCs/>
          <w:szCs w:val="24"/>
        </w:rPr>
        <w:t>, Docket No. ER2</w:t>
      </w:r>
      <w:r w:rsidRPr="00895D65" w:rsidR="009113D2">
        <w:rPr>
          <w:b/>
          <w:bCs/>
          <w:szCs w:val="24"/>
        </w:rPr>
        <w:t>6</w:t>
      </w:r>
      <w:r w:rsidRPr="00895D65" w:rsidR="00231642">
        <w:rPr>
          <w:b/>
          <w:bCs/>
          <w:szCs w:val="24"/>
        </w:rPr>
        <w:t>-</w:t>
      </w:r>
      <w:r w:rsidRPr="00895D65" w:rsidR="009113D2">
        <w:rPr>
          <w:b/>
          <w:bCs/>
          <w:szCs w:val="24"/>
        </w:rPr>
        <w:t>____</w:t>
      </w:r>
      <w:r w:rsidRPr="00895D65" w:rsidR="00231642">
        <w:rPr>
          <w:b/>
          <w:bCs/>
          <w:szCs w:val="24"/>
        </w:rPr>
        <w:t xml:space="preserve"> </w:t>
      </w:r>
    </w:p>
    <w:p w:rsidRPr="00895D65" w:rsidR="006E060D" w:rsidP="00895D65" w:rsidRDefault="00581E2A" w14:paraId="358ABBF5" w14:textId="1C5885C3">
      <w:pPr>
        <w:spacing w:line="240" w:lineRule="auto"/>
        <w:ind w:left="1440"/>
        <w:rPr>
          <w:b/>
          <w:bCs/>
          <w:szCs w:val="24"/>
        </w:rPr>
      </w:pPr>
      <w:r>
        <w:rPr>
          <w:b/>
          <w:bCs/>
          <w:szCs w:val="24"/>
        </w:rPr>
        <w:t>Transmission Owner Tariff Revisions to Appendi</w:t>
      </w:r>
      <w:r w:rsidR="00394E22">
        <w:rPr>
          <w:b/>
          <w:bCs/>
          <w:szCs w:val="24"/>
        </w:rPr>
        <w:t>ces VII and</w:t>
      </w:r>
      <w:r>
        <w:rPr>
          <w:b/>
          <w:bCs/>
          <w:szCs w:val="24"/>
        </w:rPr>
        <w:t xml:space="preserve"> IX</w:t>
      </w:r>
    </w:p>
    <w:p w:rsidR="00F43E69" w:rsidP="00394E22" w:rsidRDefault="00F43E69" w14:paraId="29E9C98C" w14:textId="77777777">
      <w:pPr>
        <w:jc w:val="both"/>
        <w:rPr>
          <w:szCs w:val="24"/>
        </w:rPr>
      </w:pPr>
    </w:p>
    <w:p w:rsidR="0049557F" w:rsidP="00394E22" w:rsidRDefault="0049557F" w14:paraId="762A0F5F" w14:textId="0CDA332C">
      <w:pPr>
        <w:jc w:val="both"/>
        <w:rPr>
          <w:szCs w:val="24"/>
        </w:rPr>
      </w:pPr>
      <w:r w:rsidRPr="00895D65">
        <w:rPr>
          <w:szCs w:val="24"/>
        </w:rPr>
        <w:t xml:space="preserve">Dear </w:t>
      </w:r>
      <w:r w:rsidRPr="00895D65" w:rsidR="00231642">
        <w:rPr>
          <w:szCs w:val="24"/>
        </w:rPr>
        <w:t>Ms.</w:t>
      </w:r>
      <w:r w:rsidRPr="00895D65">
        <w:rPr>
          <w:szCs w:val="24"/>
        </w:rPr>
        <w:t xml:space="preserve"> </w:t>
      </w:r>
      <w:r w:rsidRPr="00895D65" w:rsidR="00415F2F">
        <w:rPr>
          <w:szCs w:val="24"/>
        </w:rPr>
        <w:t>Reese</w:t>
      </w:r>
      <w:r w:rsidRPr="00895D65">
        <w:rPr>
          <w:szCs w:val="24"/>
        </w:rPr>
        <w:t>:</w:t>
      </w:r>
    </w:p>
    <w:p w:rsidRPr="00895D65" w:rsidR="00394E22" w:rsidP="00394E22" w:rsidRDefault="00394E22" w14:paraId="14C4541D" w14:textId="77777777">
      <w:pPr>
        <w:jc w:val="both"/>
        <w:rPr>
          <w:szCs w:val="24"/>
        </w:rPr>
      </w:pPr>
    </w:p>
    <w:p w:rsidR="00FF3AF4" w:rsidP="00394E22" w:rsidRDefault="00C907DC" w14:paraId="1C1F8E2D" w14:textId="51E5E3D7">
      <w:pPr>
        <w:widowControl w:val="0"/>
        <w:autoSpaceDE w:val="0"/>
        <w:autoSpaceDN w:val="0"/>
        <w:spacing w:line="240" w:lineRule="auto"/>
        <w:ind w:left="-1" w:firstLine="720"/>
        <w:rPr>
          <w:szCs w:val="22"/>
        </w:rPr>
      </w:pPr>
      <w:r w:rsidRPr="00C907DC">
        <w:rPr>
          <w:szCs w:val="22"/>
        </w:rPr>
        <w:t>Pursuant</w:t>
      </w:r>
      <w:r w:rsidRPr="00C907DC">
        <w:rPr>
          <w:spacing w:val="-2"/>
          <w:szCs w:val="22"/>
        </w:rPr>
        <w:t xml:space="preserve"> </w:t>
      </w:r>
      <w:r w:rsidRPr="00C907DC">
        <w:rPr>
          <w:szCs w:val="22"/>
        </w:rPr>
        <w:t>to</w:t>
      </w:r>
      <w:r w:rsidRPr="00C907DC">
        <w:rPr>
          <w:spacing w:val="-2"/>
          <w:szCs w:val="22"/>
        </w:rPr>
        <w:t xml:space="preserve"> </w:t>
      </w:r>
      <w:r w:rsidRPr="00C907DC">
        <w:rPr>
          <w:szCs w:val="22"/>
        </w:rPr>
        <w:t>Section</w:t>
      </w:r>
      <w:r w:rsidRPr="00C907DC">
        <w:rPr>
          <w:spacing w:val="-2"/>
          <w:szCs w:val="22"/>
        </w:rPr>
        <w:t xml:space="preserve"> </w:t>
      </w:r>
      <w:r w:rsidRPr="00C907DC">
        <w:rPr>
          <w:szCs w:val="22"/>
        </w:rPr>
        <w:t>205</w:t>
      </w:r>
      <w:r w:rsidRPr="00C907DC">
        <w:rPr>
          <w:spacing w:val="-2"/>
          <w:szCs w:val="22"/>
        </w:rPr>
        <w:t xml:space="preserve"> </w:t>
      </w:r>
      <w:r w:rsidRPr="00C907DC">
        <w:rPr>
          <w:szCs w:val="22"/>
        </w:rPr>
        <w:t>of</w:t>
      </w:r>
      <w:r w:rsidRPr="00C907DC">
        <w:rPr>
          <w:spacing w:val="-2"/>
          <w:szCs w:val="22"/>
        </w:rPr>
        <w:t xml:space="preserve"> </w:t>
      </w:r>
      <w:r w:rsidRPr="00C907DC">
        <w:rPr>
          <w:szCs w:val="22"/>
        </w:rPr>
        <w:t>the</w:t>
      </w:r>
      <w:r w:rsidRPr="00C907DC">
        <w:rPr>
          <w:spacing w:val="-2"/>
          <w:szCs w:val="22"/>
        </w:rPr>
        <w:t xml:space="preserve"> </w:t>
      </w:r>
      <w:r w:rsidRPr="00C907DC">
        <w:rPr>
          <w:szCs w:val="22"/>
        </w:rPr>
        <w:t>Federal</w:t>
      </w:r>
      <w:r w:rsidRPr="00C907DC">
        <w:rPr>
          <w:spacing w:val="-1"/>
          <w:szCs w:val="22"/>
        </w:rPr>
        <w:t xml:space="preserve"> </w:t>
      </w:r>
      <w:r w:rsidRPr="00C907DC">
        <w:rPr>
          <w:szCs w:val="22"/>
        </w:rPr>
        <w:t>Power</w:t>
      </w:r>
      <w:r w:rsidRPr="00C907DC">
        <w:rPr>
          <w:spacing w:val="-1"/>
          <w:szCs w:val="22"/>
        </w:rPr>
        <w:t xml:space="preserve"> </w:t>
      </w:r>
      <w:r w:rsidRPr="00C907DC">
        <w:rPr>
          <w:szCs w:val="22"/>
        </w:rPr>
        <w:t>Act</w:t>
      </w:r>
      <w:r w:rsidRPr="00C907DC">
        <w:rPr>
          <w:spacing w:val="-1"/>
          <w:szCs w:val="22"/>
        </w:rPr>
        <w:t xml:space="preserve"> </w:t>
      </w:r>
      <w:r w:rsidRPr="00C907DC">
        <w:rPr>
          <w:szCs w:val="22"/>
        </w:rPr>
        <w:t>and</w:t>
      </w:r>
      <w:r w:rsidRPr="00C907DC">
        <w:rPr>
          <w:spacing w:val="-1"/>
          <w:szCs w:val="22"/>
        </w:rPr>
        <w:t xml:space="preserve"> </w:t>
      </w:r>
      <w:r w:rsidRPr="00C907DC">
        <w:rPr>
          <w:szCs w:val="22"/>
        </w:rPr>
        <w:t>Sections</w:t>
      </w:r>
      <w:r w:rsidRPr="00C907DC">
        <w:rPr>
          <w:spacing w:val="-2"/>
          <w:szCs w:val="22"/>
        </w:rPr>
        <w:t xml:space="preserve"> </w:t>
      </w:r>
      <w:r w:rsidRPr="00C907DC">
        <w:rPr>
          <w:szCs w:val="22"/>
        </w:rPr>
        <w:t>35.13</w:t>
      </w:r>
      <w:r w:rsidRPr="00C907DC">
        <w:rPr>
          <w:spacing w:val="-1"/>
          <w:szCs w:val="22"/>
        </w:rPr>
        <w:t xml:space="preserve"> </w:t>
      </w:r>
      <w:r w:rsidRPr="00C907DC">
        <w:rPr>
          <w:szCs w:val="22"/>
        </w:rPr>
        <w:t>and</w:t>
      </w:r>
      <w:r w:rsidRPr="00C907DC">
        <w:rPr>
          <w:spacing w:val="-1"/>
          <w:szCs w:val="22"/>
        </w:rPr>
        <w:t xml:space="preserve"> </w:t>
      </w:r>
      <w:r w:rsidRPr="00C907DC">
        <w:rPr>
          <w:szCs w:val="22"/>
        </w:rPr>
        <w:t>385.205</w:t>
      </w:r>
      <w:r w:rsidRPr="00C907DC">
        <w:rPr>
          <w:spacing w:val="-1"/>
          <w:szCs w:val="22"/>
        </w:rPr>
        <w:t xml:space="preserve"> </w:t>
      </w:r>
      <w:r w:rsidRPr="00C907DC">
        <w:rPr>
          <w:szCs w:val="22"/>
        </w:rPr>
        <w:t>of</w:t>
      </w:r>
      <w:r w:rsidRPr="00C907DC">
        <w:rPr>
          <w:spacing w:val="-1"/>
          <w:szCs w:val="22"/>
        </w:rPr>
        <w:t xml:space="preserve"> </w:t>
      </w:r>
      <w:r w:rsidRPr="00C907DC">
        <w:rPr>
          <w:szCs w:val="22"/>
        </w:rPr>
        <w:t>the Federal Energy Regulatory Commission’s (Commission or FERC) regulations,</w:t>
      </w:r>
      <w:r>
        <w:rPr>
          <w:rStyle w:val="FootnoteReference"/>
          <w:szCs w:val="22"/>
        </w:rPr>
        <w:footnoteReference w:id="2"/>
      </w:r>
      <w:r w:rsidRPr="00C907DC">
        <w:rPr>
          <w:szCs w:val="22"/>
        </w:rPr>
        <w:t xml:space="preserve"> San Diego Gas &amp; Electric Company (SDG&amp;E) propose</w:t>
      </w:r>
      <w:r>
        <w:rPr>
          <w:szCs w:val="22"/>
        </w:rPr>
        <w:t>s</w:t>
      </w:r>
      <w:r w:rsidRPr="00C907DC">
        <w:rPr>
          <w:szCs w:val="22"/>
        </w:rPr>
        <w:t xml:space="preserve"> revisions to Appendix IX,</w:t>
      </w:r>
      <w:r>
        <w:rPr>
          <w:rStyle w:val="FootnoteReference"/>
          <w:szCs w:val="22"/>
        </w:rPr>
        <w:footnoteReference w:id="3"/>
      </w:r>
      <w:r w:rsidR="00FF3AF4">
        <w:rPr>
          <w:szCs w:val="22"/>
        </w:rPr>
        <w:t xml:space="preserve"> pertaining to rate design,</w:t>
      </w:r>
      <w:r w:rsidRPr="00C907DC">
        <w:rPr>
          <w:szCs w:val="22"/>
        </w:rPr>
        <w:t xml:space="preserve"> </w:t>
      </w:r>
      <w:r w:rsidR="008D0FE0">
        <w:rPr>
          <w:szCs w:val="22"/>
        </w:rPr>
        <w:t xml:space="preserve">and </w:t>
      </w:r>
      <w:r w:rsidRPr="008D0FE0" w:rsidR="008D0FE0">
        <w:rPr>
          <w:szCs w:val="22"/>
        </w:rPr>
        <w:t>Appendix VII,</w:t>
      </w:r>
      <w:r w:rsidR="008D0FE0">
        <w:rPr>
          <w:rStyle w:val="FootnoteReference"/>
          <w:szCs w:val="22"/>
        </w:rPr>
        <w:footnoteReference w:id="4"/>
      </w:r>
      <w:r w:rsidRPr="008D0FE0" w:rsidR="008D0FE0">
        <w:rPr>
          <w:szCs w:val="22"/>
        </w:rPr>
        <w:t xml:space="preserve"> pertaining to Reliability Services (RS)</w:t>
      </w:r>
      <w:r w:rsidR="00D50615">
        <w:rPr>
          <w:szCs w:val="22"/>
        </w:rPr>
        <w:t>,</w:t>
      </w:r>
      <w:r w:rsidRPr="00C907DC">
        <w:rPr>
          <w:szCs w:val="22"/>
        </w:rPr>
        <w:t xml:space="preserve"> of SDG&amp;E’s Transmission Owner (TO) Tariff, FERC Electric Tariff Volume No. 11 (Filing).</w:t>
      </w:r>
      <w:r w:rsidR="00FF3AF4">
        <w:rPr>
          <w:szCs w:val="22"/>
        </w:rPr>
        <w:t xml:space="preserve"> </w:t>
      </w:r>
      <w:r w:rsidRPr="00C907DC">
        <w:rPr>
          <w:szCs w:val="22"/>
        </w:rPr>
        <w:t>The</w:t>
      </w:r>
      <w:r w:rsidRPr="00C907DC">
        <w:rPr>
          <w:spacing w:val="-3"/>
          <w:szCs w:val="22"/>
        </w:rPr>
        <w:t xml:space="preserve"> </w:t>
      </w:r>
      <w:r w:rsidRPr="00C907DC">
        <w:rPr>
          <w:szCs w:val="22"/>
        </w:rPr>
        <w:t>proposed</w:t>
      </w:r>
      <w:r w:rsidRPr="00C907DC">
        <w:rPr>
          <w:spacing w:val="-3"/>
          <w:szCs w:val="22"/>
        </w:rPr>
        <w:t xml:space="preserve"> </w:t>
      </w:r>
      <w:r w:rsidRPr="00C907DC">
        <w:rPr>
          <w:szCs w:val="22"/>
        </w:rPr>
        <w:t>revisions</w:t>
      </w:r>
      <w:r w:rsidR="00FF3AF4">
        <w:rPr>
          <w:szCs w:val="22"/>
        </w:rPr>
        <w:t>:</w:t>
      </w:r>
    </w:p>
    <w:p w:rsidR="00FF3AF4" w:rsidP="0046648B" w:rsidRDefault="00FF3AF4" w14:paraId="6B6A679A" w14:textId="01AB3185">
      <w:pPr>
        <w:pStyle w:val="ListParagraph"/>
        <w:widowControl w:val="0"/>
        <w:numPr>
          <w:ilvl w:val="0"/>
          <w:numId w:val="21"/>
        </w:numPr>
        <w:autoSpaceDE w:val="0"/>
        <w:autoSpaceDN w:val="0"/>
        <w:spacing w:before="240"/>
        <w:ind w:left="1440" w:hanging="720"/>
        <w:rPr>
          <w:szCs w:val="22"/>
        </w:rPr>
      </w:pPr>
      <w:bookmarkStart w:name="_Hlk241062693" w:id="1"/>
      <w:r>
        <w:rPr>
          <w:szCs w:val="22"/>
        </w:rPr>
        <w:t>A</w:t>
      </w:r>
      <w:r w:rsidRPr="00FF3AF4" w:rsidR="00C907DC">
        <w:rPr>
          <w:szCs w:val="22"/>
        </w:rPr>
        <w:t>dd</w:t>
      </w:r>
      <w:r w:rsidRPr="00FF3AF4" w:rsidR="00C907DC">
        <w:rPr>
          <w:spacing w:val="-3"/>
          <w:szCs w:val="22"/>
        </w:rPr>
        <w:t xml:space="preserve"> </w:t>
      </w:r>
      <w:r w:rsidRPr="00FF3AF4" w:rsidR="00C907DC">
        <w:rPr>
          <w:szCs w:val="22"/>
        </w:rPr>
        <w:t>a</w:t>
      </w:r>
      <w:r w:rsidRPr="00FF3AF4" w:rsidR="00C907DC">
        <w:rPr>
          <w:spacing w:val="-3"/>
          <w:szCs w:val="22"/>
        </w:rPr>
        <w:t xml:space="preserve"> </w:t>
      </w:r>
      <w:r w:rsidRPr="00FF3AF4" w:rsidR="00C907DC">
        <w:rPr>
          <w:szCs w:val="22"/>
        </w:rPr>
        <w:t>new</w:t>
      </w:r>
      <w:r w:rsidRPr="00FF3AF4" w:rsidR="00C907DC">
        <w:rPr>
          <w:spacing w:val="-3"/>
          <w:szCs w:val="22"/>
        </w:rPr>
        <w:t xml:space="preserve"> </w:t>
      </w:r>
      <w:r w:rsidRPr="00FF3AF4" w:rsidR="00C907DC">
        <w:rPr>
          <w:szCs w:val="22"/>
        </w:rPr>
        <w:t>Medium</w:t>
      </w:r>
      <w:r w:rsidRPr="00FF3AF4" w:rsidR="00C907DC">
        <w:rPr>
          <w:spacing w:val="-5"/>
          <w:szCs w:val="22"/>
        </w:rPr>
        <w:t xml:space="preserve"> </w:t>
      </w:r>
      <w:r w:rsidRPr="00FF3AF4" w:rsidR="008D0FE0">
        <w:rPr>
          <w:szCs w:val="22"/>
        </w:rPr>
        <w:t>Commercial</w:t>
      </w:r>
      <w:r w:rsidRPr="00FF3AF4" w:rsidR="00C907DC">
        <w:rPr>
          <w:spacing w:val="-3"/>
          <w:szCs w:val="22"/>
        </w:rPr>
        <w:t xml:space="preserve"> </w:t>
      </w:r>
      <w:r w:rsidRPr="00FF3AF4" w:rsidR="00C907DC">
        <w:rPr>
          <w:szCs w:val="22"/>
        </w:rPr>
        <w:t>class</w:t>
      </w:r>
      <w:r w:rsidRPr="00FF3AF4" w:rsidR="00C907DC">
        <w:rPr>
          <w:spacing w:val="-4"/>
          <w:szCs w:val="22"/>
        </w:rPr>
        <w:t xml:space="preserve"> </w:t>
      </w:r>
      <w:r w:rsidR="00BE5D4F">
        <w:rPr>
          <w:spacing w:val="-4"/>
          <w:szCs w:val="22"/>
        </w:rPr>
        <w:t xml:space="preserve">and associated </w:t>
      </w:r>
      <w:r w:rsidRPr="00FF3AF4" w:rsidR="00C907DC">
        <w:rPr>
          <w:szCs w:val="22"/>
        </w:rPr>
        <w:t>rate</w:t>
      </w:r>
      <w:r w:rsidR="00BE5D4F">
        <w:rPr>
          <w:szCs w:val="22"/>
        </w:rPr>
        <w:t>s</w:t>
      </w:r>
      <w:r w:rsidRPr="00FF3AF4" w:rsidR="00C907DC">
        <w:rPr>
          <w:spacing w:val="-4"/>
          <w:szCs w:val="22"/>
        </w:rPr>
        <w:t xml:space="preserve"> </w:t>
      </w:r>
      <w:r w:rsidRPr="00FF3AF4" w:rsidR="008D0FE0">
        <w:rPr>
          <w:szCs w:val="22"/>
        </w:rPr>
        <w:t xml:space="preserve">separate from </w:t>
      </w:r>
      <w:r>
        <w:rPr>
          <w:szCs w:val="22"/>
        </w:rPr>
        <w:t>SDG&amp;E’s</w:t>
      </w:r>
      <w:r w:rsidRPr="00FF3AF4" w:rsidR="008D0FE0">
        <w:rPr>
          <w:szCs w:val="22"/>
        </w:rPr>
        <w:t xml:space="preserve"> Large Commercial and Industrial Class</w:t>
      </w:r>
      <w:r w:rsidR="0046648B">
        <w:rPr>
          <w:szCs w:val="22"/>
        </w:rPr>
        <w:t>,</w:t>
      </w:r>
      <w:r w:rsidRPr="00FF3AF4" w:rsidR="008D0FE0">
        <w:rPr>
          <w:szCs w:val="22"/>
        </w:rPr>
        <w:t xml:space="preserve"> consistent with</w:t>
      </w:r>
      <w:r w:rsidRPr="00FF3AF4" w:rsidR="00C907DC">
        <w:rPr>
          <w:szCs w:val="22"/>
        </w:rPr>
        <w:t xml:space="preserve"> the </w:t>
      </w:r>
      <w:r w:rsidRPr="00FF3AF4" w:rsidR="00BE5D4F">
        <w:rPr>
          <w:szCs w:val="22"/>
        </w:rPr>
        <w:t>approv</w:t>
      </w:r>
      <w:r w:rsidR="00BE5D4F">
        <w:rPr>
          <w:szCs w:val="22"/>
        </w:rPr>
        <w:t>al</w:t>
      </w:r>
      <w:r w:rsidRPr="00FF3AF4" w:rsidR="00BE5D4F">
        <w:rPr>
          <w:szCs w:val="22"/>
        </w:rPr>
        <w:t xml:space="preserve"> </w:t>
      </w:r>
      <w:r w:rsidRPr="00FF3AF4" w:rsidR="008D0FE0">
        <w:rPr>
          <w:szCs w:val="22"/>
        </w:rPr>
        <w:t xml:space="preserve">by the </w:t>
      </w:r>
      <w:r w:rsidRPr="00FF3AF4" w:rsidR="00C907DC">
        <w:rPr>
          <w:szCs w:val="22"/>
        </w:rPr>
        <w:t xml:space="preserve">California Public Utilities Commission (CPUC) in Decision (D.) </w:t>
      </w:r>
      <w:r w:rsidRPr="00FF3AF4" w:rsidR="008D0FE0">
        <w:rPr>
          <w:szCs w:val="22"/>
        </w:rPr>
        <w:t>2</w:t>
      </w:r>
      <w:r w:rsidR="0096292D">
        <w:rPr>
          <w:szCs w:val="22"/>
        </w:rPr>
        <w:t>5</w:t>
      </w:r>
      <w:r w:rsidRPr="00FF3AF4" w:rsidR="008D0FE0">
        <w:rPr>
          <w:szCs w:val="22"/>
        </w:rPr>
        <w:t>-09-006</w:t>
      </w:r>
      <w:r>
        <w:rPr>
          <w:szCs w:val="22"/>
        </w:rPr>
        <w:t xml:space="preserve"> for SDG&amp;E’s CPUC</w:t>
      </w:r>
      <w:r w:rsidR="0046648B">
        <w:rPr>
          <w:szCs w:val="22"/>
        </w:rPr>
        <w:t xml:space="preserve"> </w:t>
      </w:r>
      <w:r>
        <w:rPr>
          <w:szCs w:val="22"/>
        </w:rPr>
        <w:t>jurisdictional rates;</w:t>
      </w:r>
      <w:r w:rsidR="008D0FE0">
        <w:rPr>
          <w:rStyle w:val="FootnoteReference"/>
          <w:szCs w:val="22"/>
        </w:rPr>
        <w:footnoteReference w:id="5"/>
      </w:r>
      <w:r>
        <w:rPr>
          <w:szCs w:val="22"/>
        </w:rPr>
        <w:t xml:space="preserve"> and</w:t>
      </w:r>
    </w:p>
    <w:bookmarkEnd w:id="1"/>
    <w:p w:rsidR="00917759" w:rsidP="0046648B" w:rsidRDefault="00917759" w14:paraId="78ED5EB5" w14:textId="33C5386B">
      <w:pPr>
        <w:pStyle w:val="ListParagraph"/>
        <w:widowControl w:val="0"/>
        <w:numPr>
          <w:ilvl w:val="0"/>
          <w:numId w:val="21"/>
        </w:numPr>
        <w:autoSpaceDE w:val="0"/>
        <w:autoSpaceDN w:val="0"/>
        <w:spacing w:before="240"/>
        <w:ind w:left="1440" w:hanging="720"/>
        <w:rPr>
          <w:szCs w:val="22"/>
        </w:rPr>
      </w:pPr>
      <w:r>
        <w:rPr>
          <w:color w:val="000000"/>
          <w:szCs w:val="20"/>
        </w:rPr>
        <w:t>R</w:t>
      </w:r>
      <w:r w:rsidRPr="00917759">
        <w:rPr>
          <w:color w:val="000000"/>
          <w:szCs w:val="20"/>
        </w:rPr>
        <w:t xml:space="preserve">evise how </w:t>
      </w:r>
      <w:r w:rsidR="00394E22">
        <w:rPr>
          <w:color w:val="000000"/>
          <w:szCs w:val="20"/>
        </w:rPr>
        <w:t xml:space="preserve">SDG&amp;E’s </w:t>
      </w:r>
      <w:r w:rsidRPr="00917759">
        <w:rPr>
          <w:color w:val="000000"/>
          <w:szCs w:val="20"/>
        </w:rPr>
        <w:t>B</w:t>
      </w:r>
      <w:r>
        <w:rPr>
          <w:color w:val="000000"/>
          <w:szCs w:val="20"/>
        </w:rPr>
        <w:t xml:space="preserve">ase Transmission Revenue Requirement (BTRR) </w:t>
      </w:r>
      <w:r w:rsidRPr="00917759">
        <w:rPr>
          <w:color w:val="000000"/>
          <w:szCs w:val="20"/>
        </w:rPr>
        <w:t xml:space="preserve">and RS rate inputs are treated if the historical values </w:t>
      </w:r>
      <w:r w:rsidR="0046648B">
        <w:rPr>
          <w:color w:val="000000"/>
          <w:szCs w:val="20"/>
        </w:rPr>
        <w:t xml:space="preserve">for a rate </w:t>
      </w:r>
      <w:r w:rsidRPr="00917759">
        <w:rPr>
          <w:color w:val="000000"/>
          <w:szCs w:val="20"/>
        </w:rPr>
        <w:t>become zero so that a rate still exists.</w:t>
      </w:r>
    </w:p>
    <w:p w:rsidRPr="0046648B" w:rsidR="008A5F55" w:rsidP="0046648B" w:rsidRDefault="00C907DC" w14:paraId="1BD23ACB" w14:textId="560AA527">
      <w:pPr>
        <w:widowControl w:val="0"/>
        <w:autoSpaceDE w:val="0"/>
        <w:autoSpaceDN w:val="0"/>
        <w:spacing w:before="240"/>
        <w:ind w:firstLine="720"/>
        <w:rPr>
          <w:szCs w:val="22"/>
        </w:rPr>
      </w:pPr>
      <w:r w:rsidRPr="00FF3AF4">
        <w:rPr>
          <w:szCs w:val="22"/>
        </w:rPr>
        <w:t xml:space="preserve">SDG&amp;E requests that this Filing be </w:t>
      </w:r>
      <w:r w:rsidRPr="00FF3AF4" w:rsidR="00B77208">
        <w:rPr>
          <w:szCs w:val="22"/>
        </w:rPr>
        <w:t>approved by November 30, 2026</w:t>
      </w:r>
      <w:r w:rsidR="00D50615">
        <w:rPr>
          <w:szCs w:val="22"/>
        </w:rPr>
        <w:t>,</w:t>
      </w:r>
      <w:r w:rsidRPr="00FF3AF4" w:rsidR="00B77208">
        <w:rPr>
          <w:szCs w:val="22"/>
        </w:rPr>
        <w:t xml:space="preserve"> so that it can be reflected in SDG&amp;E’s Transmission Owner 6, Cycle 3 informational filing on December 1, 2026, and that the Filing take </w:t>
      </w:r>
      <w:r w:rsidRPr="00FF3AF4">
        <w:rPr>
          <w:szCs w:val="22"/>
        </w:rPr>
        <w:t xml:space="preserve">effect on </w:t>
      </w:r>
      <w:r w:rsidRPr="00FF3AF4" w:rsidR="00B77208">
        <w:rPr>
          <w:szCs w:val="22"/>
        </w:rPr>
        <w:t>January 1, 2027.</w:t>
      </w:r>
    </w:p>
    <w:p w:rsidRPr="00895D65" w:rsidR="009013F8" w:rsidP="008A5F55" w:rsidRDefault="009B6154" w14:paraId="4B614EBB" w14:textId="16AB7F23">
      <w:pPr>
        <w:pStyle w:val="Heading1"/>
        <w:numPr>
          <w:ilvl w:val="0"/>
          <w:numId w:val="5"/>
        </w:numPr>
        <w:spacing w:after="0" w:line="360" w:lineRule="auto"/>
        <w:jc w:val="both"/>
      </w:pPr>
      <w:r>
        <w:t>SUMMARY OF FILING AND REQUEST</w:t>
      </w:r>
    </w:p>
    <w:p w:rsidR="009013F8" w:rsidP="00F43E69" w:rsidRDefault="00885048" w14:paraId="6F163AF1" w14:textId="61804E74">
      <w:pPr>
        <w:pStyle w:val="ListParagraph"/>
        <w:widowControl w:val="0"/>
        <w:numPr>
          <w:ilvl w:val="1"/>
          <w:numId w:val="5"/>
        </w:numPr>
        <w:tabs>
          <w:tab w:val="left" w:pos="1440"/>
        </w:tabs>
        <w:autoSpaceDE w:val="0"/>
        <w:autoSpaceDN w:val="0"/>
        <w:jc w:val="both"/>
        <w:rPr>
          <w:b/>
        </w:rPr>
      </w:pPr>
      <w:r w:rsidRPr="00895D65">
        <w:rPr>
          <w:b/>
        </w:rPr>
        <w:t>SDG&amp;E</w:t>
      </w:r>
    </w:p>
    <w:p w:rsidRPr="00F43E69" w:rsidR="00F43E69" w:rsidP="00F43E69" w:rsidRDefault="00F43E69" w14:paraId="214180FE" w14:textId="77777777">
      <w:pPr>
        <w:pStyle w:val="ListParagraph"/>
        <w:widowControl w:val="0"/>
        <w:tabs>
          <w:tab w:val="left" w:pos="1440"/>
        </w:tabs>
        <w:autoSpaceDE w:val="0"/>
        <w:autoSpaceDN w:val="0"/>
        <w:ind w:left="1440"/>
        <w:jc w:val="both"/>
        <w:rPr>
          <w:bCs/>
        </w:rPr>
      </w:pPr>
    </w:p>
    <w:p w:rsidR="00B85564" w:rsidP="0046648B" w:rsidRDefault="00C51915" w14:paraId="37099DB9" w14:textId="01F23FBC">
      <w:pPr>
        <w:pStyle w:val="StyleBodyTextJustifiedFirstline05Right025"/>
        <w:jc w:val="left"/>
      </w:pPr>
      <w:r w:rsidRPr="00A7452F">
        <w:t xml:space="preserve">SDG&amp;E </w:t>
      </w:r>
      <w:r w:rsidRPr="00772E8C">
        <w:t xml:space="preserve">is a </w:t>
      </w:r>
      <w:r w:rsidR="00EB72BB">
        <w:t xml:space="preserve">California </w:t>
      </w:r>
      <w:r w:rsidRPr="00772E8C">
        <w:t xml:space="preserve">public utility </w:t>
      </w:r>
      <w:r w:rsidR="00EB72BB">
        <w:t xml:space="preserve">corporation </w:t>
      </w:r>
      <w:r w:rsidRPr="00772E8C">
        <w:t xml:space="preserve">with </w:t>
      </w:r>
      <w:r w:rsidR="00EB72BB">
        <w:t>its principal place of business at 8330 Century Park Court, San Diego, California 92123</w:t>
      </w:r>
      <w:r>
        <w:t>.</w:t>
      </w:r>
      <w:r w:rsidR="00B85564">
        <w:t xml:space="preserve"> </w:t>
      </w:r>
      <w:r>
        <w:t xml:space="preserve">SDG&amp;E </w:t>
      </w:r>
      <w:r w:rsidRPr="00A7452F">
        <w:t>is engaged in the transmission, distribution, and sale of energy services</w:t>
      </w:r>
      <w:r w:rsidRPr="00B21F2D">
        <w:t xml:space="preserve"> in San Diego and </w:t>
      </w:r>
      <w:r w:rsidR="00A4044F">
        <w:t xml:space="preserve">southern </w:t>
      </w:r>
      <w:r w:rsidRPr="00B21F2D">
        <w:t>Orange Counties, California</w:t>
      </w:r>
      <w:r w:rsidR="00EB72BB">
        <w:t xml:space="preserve">, pursuant to regulation by this Commission and by the </w:t>
      </w:r>
      <w:r w:rsidR="00D50615">
        <w:t>CPUC</w:t>
      </w:r>
      <w:r w:rsidRPr="00B21F2D">
        <w:t xml:space="preserve">. </w:t>
      </w:r>
      <w:r w:rsidRPr="00A7452F">
        <w:t xml:space="preserve">Pursuant to orders of this Commission and the CPUC, SDG&amp;E has conveyed operational control over its transmission facilities to the </w:t>
      </w:r>
      <w:proofErr w:type="gramStart"/>
      <w:r w:rsidRPr="00A7452F">
        <w:t>CAISO, and</w:t>
      </w:r>
      <w:proofErr w:type="gramEnd"/>
      <w:r w:rsidRPr="00A7452F">
        <w:t xml:space="preserve"> is a Participating Transmission Owner in the CAISO.</w:t>
      </w:r>
      <w:r>
        <w:t xml:space="preserve"> </w:t>
      </w:r>
      <w:r w:rsidR="007A0BBA">
        <w:t xml:space="preserve">SDG&amp;E’s Transmission Owner Tariff sets forth the revenue requirement and associated ratemaking methodologies </w:t>
      </w:r>
      <w:r w:rsidR="00BE7BC1">
        <w:t>used to assess costs</w:t>
      </w:r>
      <w:r w:rsidRPr="007A0BBA" w:rsidR="007A0BBA">
        <w:t xml:space="preserve"> </w:t>
      </w:r>
      <w:proofErr w:type="gramStart"/>
      <w:r w:rsidRPr="007A0BBA" w:rsidR="007A0BBA">
        <w:t>to</w:t>
      </w:r>
      <w:proofErr w:type="gramEnd"/>
      <w:r w:rsidRPr="007A0BBA" w:rsidR="007A0BBA">
        <w:t xml:space="preserve"> wholesale </w:t>
      </w:r>
      <w:r w:rsidR="00BE7BC1">
        <w:t xml:space="preserve">and end-use customers. </w:t>
      </w:r>
    </w:p>
    <w:p w:rsidRPr="00F43E69" w:rsidR="009013F8" w:rsidP="00F43E69" w:rsidRDefault="000318E8" w14:paraId="247955B3" w14:textId="0D546FF1">
      <w:pPr>
        <w:pStyle w:val="ListParagraph"/>
        <w:widowControl w:val="0"/>
        <w:numPr>
          <w:ilvl w:val="1"/>
          <w:numId w:val="5"/>
        </w:numPr>
        <w:tabs>
          <w:tab w:val="left" w:pos="1440"/>
        </w:tabs>
        <w:autoSpaceDE w:val="0"/>
        <w:autoSpaceDN w:val="0"/>
        <w:jc w:val="both"/>
      </w:pPr>
      <w:r w:rsidRPr="00F43E69">
        <w:rPr>
          <w:b/>
        </w:rPr>
        <w:t>Proposed</w:t>
      </w:r>
      <w:r w:rsidRPr="00F43E69">
        <w:rPr>
          <w:b/>
          <w:bCs/>
        </w:rPr>
        <w:t xml:space="preserve"> </w:t>
      </w:r>
      <w:r w:rsidRPr="00F43E69" w:rsidR="00917759">
        <w:rPr>
          <w:b/>
          <w:bCs/>
        </w:rPr>
        <w:t>Rate Design Changes</w:t>
      </w:r>
    </w:p>
    <w:p w:rsidRPr="00895D65" w:rsidR="00F43E69" w:rsidP="00F43E69" w:rsidRDefault="00F43E69" w14:paraId="44A8B20E" w14:textId="77777777">
      <w:pPr>
        <w:pStyle w:val="ListParagraph"/>
        <w:widowControl w:val="0"/>
        <w:tabs>
          <w:tab w:val="left" w:pos="1440"/>
        </w:tabs>
        <w:autoSpaceDE w:val="0"/>
        <w:autoSpaceDN w:val="0"/>
        <w:ind w:left="1440"/>
        <w:jc w:val="both"/>
      </w:pPr>
    </w:p>
    <w:p w:rsidR="007C4635" w:rsidP="007C4635" w:rsidRDefault="00917759" w14:paraId="7344BF8A" w14:textId="62C977C9">
      <w:pPr>
        <w:spacing w:line="240" w:lineRule="auto"/>
        <w:ind w:firstLine="720"/>
      </w:pPr>
      <w:r w:rsidRPr="00917759">
        <w:t xml:space="preserve">As discussed more fully in the Prepared Direct Testimony of </w:t>
      </w:r>
      <w:r>
        <w:t>Mindy Guardado</w:t>
      </w:r>
      <w:r w:rsidRPr="00917759">
        <w:t xml:space="preserve">, </w:t>
      </w:r>
      <w:r>
        <w:t>SDG&amp;E seeks Commission approval for two rate design changes.</w:t>
      </w:r>
      <w:r w:rsidR="00D50615">
        <w:rPr>
          <w:rStyle w:val="FootnoteReference"/>
        </w:rPr>
        <w:footnoteReference w:id="6"/>
      </w:r>
      <w:r w:rsidR="00D50615">
        <w:t xml:space="preserve"> </w:t>
      </w:r>
      <w:r>
        <w:t>First, SDG&amp;E seeks to incorporate into</w:t>
      </w:r>
      <w:r w:rsidRPr="00917759">
        <w:t xml:space="preserve"> SDG&amp;</w:t>
      </w:r>
      <w:proofErr w:type="gramStart"/>
      <w:r w:rsidRPr="00917759">
        <w:t>E’s</w:t>
      </w:r>
      <w:proofErr w:type="gramEnd"/>
      <w:r w:rsidRPr="00917759">
        <w:t xml:space="preserve"> TO Tariff</w:t>
      </w:r>
      <w:r>
        <w:t xml:space="preserve"> a </w:t>
      </w:r>
      <w:r w:rsidR="007C4635">
        <w:t xml:space="preserve">new </w:t>
      </w:r>
      <w:r>
        <w:t xml:space="preserve">Medium Commercial customer class </w:t>
      </w:r>
      <w:r w:rsidR="007C4635">
        <w:t>f</w:t>
      </w:r>
      <w:r w:rsidRPr="007C4635" w:rsidR="007C4635">
        <w:t>rom the previously combined Medium &amp; Large Commercial/Industrial class</w:t>
      </w:r>
      <w:r w:rsidR="007C4635">
        <w:t xml:space="preserve">. </w:t>
      </w:r>
      <w:r w:rsidR="007C4635">
        <w:rPr>
          <w:color w:val="000000"/>
        </w:rPr>
        <w:t>T</w:t>
      </w:r>
      <w:r w:rsidRPr="007C4635" w:rsidR="007C4635">
        <w:rPr>
          <w:color w:val="000000"/>
        </w:rPr>
        <w:t>he new Medium Commercial customer class would generally be available for commercial customers with a Maximum Monthly Demand equaling or exceeding 20</w:t>
      </w:r>
      <w:bookmarkStart w:name="_Hlk241064450" w:id="2"/>
      <w:r w:rsidRPr="007C4635" w:rsidR="007C4635">
        <w:rPr>
          <w:color w:val="000000"/>
        </w:rPr>
        <w:t xml:space="preserve"> kilowatts (kW) </w:t>
      </w:r>
      <w:bookmarkEnd w:id="2"/>
      <w:r w:rsidRPr="007C4635" w:rsidR="007C4635">
        <w:rPr>
          <w:color w:val="000000"/>
        </w:rPr>
        <w:t>and below 200 kW who are not on substation or transmission level services.</w:t>
      </w:r>
      <w:r w:rsidR="007C4635">
        <w:rPr>
          <w:color w:val="000000"/>
        </w:rPr>
        <w:t xml:space="preserve"> </w:t>
      </w:r>
      <w:r w:rsidR="007C4635">
        <w:t>Medium Commercial customers retain the option, however, to return to the large versions of the</w:t>
      </w:r>
      <w:r w:rsidR="00D50615">
        <w:t>ir</w:t>
      </w:r>
      <w:r w:rsidR="007C4635">
        <w:t xml:space="preserve"> respective rate schedule if </w:t>
      </w:r>
      <w:proofErr w:type="gramStart"/>
      <w:r w:rsidR="007C4635">
        <w:t xml:space="preserve">they </w:t>
      </w:r>
      <w:r w:rsidR="00D50615">
        <w:t>so</w:t>
      </w:r>
      <w:proofErr w:type="gramEnd"/>
      <w:r w:rsidR="00D50615">
        <w:t xml:space="preserve"> </w:t>
      </w:r>
      <w:r w:rsidR="007C4635">
        <w:t xml:space="preserve">choose. </w:t>
      </w:r>
    </w:p>
    <w:p w:rsidR="007C4635" w:rsidP="007C4635" w:rsidRDefault="007C4635" w14:paraId="3829ED5F" w14:textId="77777777">
      <w:pPr>
        <w:spacing w:line="240" w:lineRule="auto"/>
        <w:ind w:firstLine="720"/>
      </w:pPr>
    </w:p>
    <w:p w:rsidRPr="000318E8" w:rsidR="007C4635" w:rsidP="000318E8" w:rsidRDefault="007C4635" w14:paraId="34CE8661" w14:textId="5D4EFEC7">
      <w:pPr>
        <w:spacing w:line="240" w:lineRule="auto"/>
        <w:ind w:firstLine="720"/>
        <w:rPr>
          <w:rFonts w:eastAsia="Calibri" w:cs="Arial"/>
          <w:szCs w:val="24"/>
        </w:rPr>
      </w:pPr>
      <w:r>
        <w:t xml:space="preserve">As noted, </w:t>
      </w:r>
      <w:proofErr w:type="gramStart"/>
      <w:r>
        <w:t>the CPUC</w:t>
      </w:r>
      <w:proofErr w:type="gramEnd"/>
      <w:r>
        <w:t xml:space="preserve"> approved the creation of </w:t>
      </w:r>
      <w:r w:rsidR="00D50615">
        <w:t>the same</w:t>
      </w:r>
      <w:r>
        <w:t xml:space="preserve"> Medium Commercial customer class </w:t>
      </w:r>
      <w:r w:rsidRPr="007C4635">
        <w:t>in D.25-09-006</w:t>
      </w:r>
      <w:r>
        <w:t xml:space="preserve"> for SDG&amp;E’s CPUC-jurisdictional customers</w:t>
      </w:r>
      <w:r w:rsidRPr="007C4635">
        <w:t>.</w:t>
      </w:r>
      <w:r w:rsidRPr="007C4635">
        <w:rPr>
          <w:vertAlign w:val="superscript"/>
        </w:rPr>
        <w:footnoteReference w:id="7"/>
      </w:r>
      <w:r w:rsidRPr="007C4635">
        <w:t xml:space="preserve"> </w:t>
      </w:r>
      <w:r w:rsidRPr="007C4635">
        <w:rPr>
          <w:rFonts w:eastAsia="Calibri" w:cs="Arial"/>
          <w:szCs w:val="24"/>
        </w:rPr>
        <w:t xml:space="preserve">SDG&amp;E implemented </w:t>
      </w:r>
      <w:r>
        <w:rPr>
          <w:rFonts w:eastAsia="Calibri" w:cs="Arial"/>
          <w:szCs w:val="24"/>
        </w:rPr>
        <w:t xml:space="preserve">this class in its </w:t>
      </w:r>
      <w:r w:rsidRPr="007C4635">
        <w:rPr>
          <w:rFonts w:eastAsia="Calibri" w:cs="Arial"/>
          <w:szCs w:val="24"/>
        </w:rPr>
        <w:t>CPUC jurisdictional rates on April 1, 2026</w:t>
      </w:r>
      <w:r w:rsidR="00BE5D4F">
        <w:rPr>
          <w:rFonts w:eastAsia="Calibri" w:cs="Arial"/>
          <w:szCs w:val="24"/>
        </w:rPr>
        <w:t>.</w:t>
      </w:r>
      <w:r w:rsidRPr="007C4635">
        <w:rPr>
          <w:rFonts w:eastAsia="Calibri" w:cs="Arial"/>
          <w:szCs w:val="24"/>
          <w:vertAlign w:val="superscript"/>
        </w:rPr>
        <w:t xml:space="preserve"> </w:t>
      </w:r>
      <w:r w:rsidRPr="007C4635">
        <w:rPr>
          <w:rFonts w:eastAsia="Calibri" w:cs="Arial"/>
          <w:szCs w:val="24"/>
          <w:vertAlign w:val="superscript"/>
        </w:rPr>
        <w:footnoteReference w:id="8"/>
      </w:r>
      <w:r w:rsidRPr="007C4635">
        <w:rPr>
          <w:rFonts w:eastAsia="Calibri" w:cs="Arial"/>
          <w:szCs w:val="24"/>
        </w:rPr>
        <w:t xml:space="preserve"> But SDG&amp;E lacks a Medium Commercial rate class at FERC</w:t>
      </w:r>
      <w:r>
        <w:rPr>
          <w:rFonts w:eastAsia="Calibri" w:cs="Arial"/>
          <w:szCs w:val="24"/>
        </w:rPr>
        <w:t xml:space="preserve">. </w:t>
      </w:r>
      <w:r w:rsidRPr="000318E8" w:rsidR="000318E8">
        <w:rPr>
          <w:rFonts w:eastAsia="Calibri" w:cs="Arial"/>
          <w:szCs w:val="24"/>
        </w:rPr>
        <w:t>Consistent with the approved CPUC-jurisdictional distribution design</w:t>
      </w:r>
      <w:r w:rsidR="000318E8">
        <w:rPr>
          <w:rFonts w:eastAsia="Calibri" w:cs="Arial"/>
          <w:szCs w:val="24"/>
        </w:rPr>
        <w:t xml:space="preserve"> and reflecting </w:t>
      </w:r>
      <w:r w:rsidRPr="000318E8" w:rsidR="000318E8">
        <w:rPr>
          <w:rFonts w:eastAsia="Calibri" w:cs="Arial"/>
          <w:szCs w:val="24"/>
        </w:rPr>
        <w:t xml:space="preserve">the mixed nature of customers in the Medium Commercial class, SDG&amp;E is proposing a rate design that recovers costs using a blended volumetric and demand design, along with a completely volumetric rate for specific schedules. </w:t>
      </w:r>
      <w:r>
        <w:rPr>
          <w:rFonts w:eastAsia="Calibri" w:cs="Arial"/>
          <w:szCs w:val="24"/>
        </w:rPr>
        <w:t xml:space="preserve">Approving this </w:t>
      </w:r>
      <w:r>
        <w:rPr>
          <w:rFonts w:eastAsia="Calibri"/>
          <w:szCs w:val="24"/>
        </w:rPr>
        <w:t>filing will create consistency for SDG&amp;E’s customers</w:t>
      </w:r>
      <w:r w:rsidR="00D50615">
        <w:rPr>
          <w:rFonts w:eastAsia="Calibri"/>
          <w:szCs w:val="24"/>
        </w:rPr>
        <w:t xml:space="preserve"> between </w:t>
      </w:r>
      <w:r w:rsidR="00FF3DAF">
        <w:rPr>
          <w:rFonts w:eastAsia="Calibri"/>
          <w:szCs w:val="24"/>
        </w:rPr>
        <w:t xml:space="preserve">their </w:t>
      </w:r>
      <w:r w:rsidR="00D50615">
        <w:rPr>
          <w:rFonts w:eastAsia="Calibri"/>
          <w:szCs w:val="24"/>
        </w:rPr>
        <w:t>FERC and CPUC-</w:t>
      </w:r>
      <w:proofErr w:type="gramStart"/>
      <w:r w:rsidR="00D50615">
        <w:rPr>
          <w:rFonts w:eastAsia="Calibri"/>
          <w:szCs w:val="24"/>
        </w:rPr>
        <w:t>jurisdictional</w:t>
      </w:r>
      <w:proofErr w:type="gramEnd"/>
      <w:r w:rsidR="00D50615">
        <w:rPr>
          <w:rFonts w:eastAsia="Calibri"/>
          <w:szCs w:val="24"/>
        </w:rPr>
        <w:t xml:space="preserve"> rates.</w:t>
      </w:r>
    </w:p>
    <w:p w:rsidR="007C4635" w:rsidP="007C4635" w:rsidRDefault="007C4635" w14:paraId="6B5511FF" w14:textId="77777777">
      <w:pPr>
        <w:spacing w:line="240" w:lineRule="auto"/>
        <w:ind w:firstLine="720"/>
        <w:rPr>
          <w:rFonts w:eastAsia="Calibri"/>
          <w:szCs w:val="24"/>
        </w:rPr>
      </w:pPr>
    </w:p>
    <w:p w:rsidR="00AB1CD8" w:rsidP="007C4635" w:rsidRDefault="007C4635" w14:paraId="782504A0" w14:textId="49F3FC09">
      <w:pPr>
        <w:spacing w:line="240" w:lineRule="auto"/>
        <w:ind w:firstLine="720"/>
        <w:rPr>
          <w:rFonts w:ascii="TimesNewRomanPSMT" w:hAnsi="TimesNewRomanPSMT" w:cs="TimesNewRomanPSMT"/>
        </w:rPr>
      </w:pPr>
      <w:r>
        <w:rPr>
          <w:rFonts w:eastAsia="Calibri"/>
          <w:szCs w:val="24"/>
        </w:rPr>
        <w:t xml:space="preserve">Second, </w:t>
      </w:r>
      <w:r w:rsidRPr="000318E8" w:rsidR="000318E8">
        <w:t xml:space="preserve">SDG&amp;E is proposing to update its treatment of historical sales and demand determinants so that, when forecasted billing determinants for a customer class or customer-specific rate become zero, SDG&amp;E will instead use the most recent available non-zero determinant value </w:t>
      </w:r>
      <w:r w:rsidR="00D50615">
        <w:t xml:space="preserve">for that class </w:t>
      </w:r>
      <w:r w:rsidRPr="000318E8" w:rsidR="000318E8">
        <w:t>unless and until new non-zero values become available</w:t>
      </w:r>
      <w:r w:rsidR="000318E8">
        <w:t>. This will ensure that a rate remains available for that class</w:t>
      </w:r>
      <w:r w:rsidR="00D50615">
        <w:t>—</w:t>
      </w:r>
      <w:r w:rsidR="000318E8">
        <w:t xml:space="preserve">otherwise the rate would be zero due to the </w:t>
      </w:r>
      <w:r w:rsidR="000318E8">
        <w:t>denominator being zero. SDG&amp;E’s proposal</w:t>
      </w:r>
      <w:r w:rsidRPr="000318E8" w:rsidR="000318E8">
        <w:t xml:space="preserve"> preserves the ability to calculate rates, supports recovery of allocated costs, and avoids inappropriate zero-rate outcomes</w:t>
      </w:r>
      <w:r w:rsidRPr="000318E8" w:rsidR="000318E8">
        <w:rPr>
          <w:rFonts w:ascii="TimesNewRomanPSMT" w:hAnsi="TimesNewRomanPSMT" w:cs="TimesNewRomanPSMT"/>
        </w:rPr>
        <w:t xml:space="preserve">.  </w:t>
      </w:r>
    </w:p>
    <w:p w:rsidR="002D608D" w:rsidP="007C4635" w:rsidRDefault="002D608D" w14:paraId="308D6583" w14:textId="77777777">
      <w:pPr>
        <w:spacing w:line="240" w:lineRule="auto"/>
        <w:ind w:firstLine="720"/>
        <w:rPr>
          <w:rFonts w:ascii="TimesNewRomanPSMT" w:hAnsi="TimesNewRomanPSMT" w:cs="TimesNewRomanPSMT"/>
        </w:rPr>
      </w:pPr>
    </w:p>
    <w:p w:rsidRPr="00A37178" w:rsidR="00A37178" w:rsidP="00F43E69" w:rsidRDefault="00A37178" w14:paraId="560BE32F" w14:textId="59B919B1">
      <w:pPr>
        <w:pStyle w:val="ListParagraph"/>
        <w:widowControl w:val="0"/>
        <w:numPr>
          <w:ilvl w:val="1"/>
          <w:numId w:val="5"/>
        </w:numPr>
        <w:tabs>
          <w:tab w:val="left" w:pos="1440"/>
        </w:tabs>
        <w:autoSpaceDE w:val="0"/>
        <w:autoSpaceDN w:val="0"/>
        <w:jc w:val="both"/>
        <w:rPr>
          <w:szCs w:val="20"/>
        </w:rPr>
      </w:pPr>
      <w:r w:rsidRPr="00A37178">
        <w:rPr>
          <w:b/>
          <w:bCs/>
        </w:rPr>
        <w:t>Proposed</w:t>
      </w:r>
      <w:r w:rsidRPr="00A37178">
        <w:rPr>
          <w:b/>
          <w:bCs/>
          <w:spacing w:val="-7"/>
        </w:rPr>
        <w:t xml:space="preserve"> </w:t>
      </w:r>
      <w:r w:rsidRPr="00A37178">
        <w:rPr>
          <w:b/>
          <w:bCs/>
        </w:rPr>
        <w:t>Revisions</w:t>
      </w:r>
      <w:r w:rsidRPr="00A37178">
        <w:rPr>
          <w:b/>
          <w:bCs/>
          <w:spacing w:val="-7"/>
        </w:rPr>
        <w:t xml:space="preserve"> </w:t>
      </w:r>
      <w:r w:rsidRPr="00A37178">
        <w:rPr>
          <w:b/>
          <w:bCs/>
        </w:rPr>
        <w:t>to</w:t>
      </w:r>
      <w:r w:rsidRPr="00A37178">
        <w:rPr>
          <w:b/>
          <w:bCs/>
          <w:spacing w:val="-7"/>
        </w:rPr>
        <w:t xml:space="preserve"> </w:t>
      </w:r>
      <w:r w:rsidRPr="00A37178">
        <w:rPr>
          <w:b/>
          <w:bCs/>
        </w:rPr>
        <w:t>Appendix</w:t>
      </w:r>
      <w:r w:rsidRPr="00A37178">
        <w:rPr>
          <w:b/>
          <w:bCs/>
          <w:spacing w:val="-4"/>
        </w:rPr>
        <w:t xml:space="preserve"> </w:t>
      </w:r>
      <w:r w:rsidRPr="00A37178">
        <w:rPr>
          <w:b/>
          <w:bCs/>
          <w:spacing w:val="-5"/>
        </w:rPr>
        <w:t>VII</w:t>
      </w:r>
    </w:p>
    <w:p w:rsidR="00A37178" w:rsidP="00A37178" w:rsidRDefault="00A37178" w14:paraId="21175E77" w14:textId="77777777">
      <w:pPr>
        <w:widowControl w:val="0"/>
        <w:numPr>
          <w:ilvl w:val="2"/>
          <w:numId w:val="22"/>
        </w:numPr>
        <w:tabs>
          <w:tab w:val="left" w:pos="2159"/>
        </w:tabs>
        <w:autoSpaceDE w:val="0"/>
        <w:autoSpaceDN w:val="0"/>
        <w:spacing w:before="240" w:line="240" w:lineRule="auto"/>
        <w:ind w:left="1440" w:right="919"/>
        <w:contextualSpacing/>
        <w:rPr>
          <w:szCs w:val="22"/>
        </w:rPr>
      </w:pPr>
      <w:r w:rsidRPr="00A37178">
        <w:rPr>
          <w:szCs w:val="22"/>
        </w:rPr>
        <w:t>Add three new line numbers to identify the Commercial class RS Rates;</w:t>
      </w:r>
    </w:p>
    <w:p w:rsidRPr="00A37178" w:rsidR="00A37178" w:rsidP="00A37178" w:rsidRDefault="00A37178" w14:paraId="12864AF3" w14:textId="77777777">
      <w:pPr>
        <w:widowControl w:val="0"/>
        <w:tabs>
          <w:tab w:val="left" w:pos="2159"/>
        </w:tabs>
        <w:autoSpaceDE w:val="0"/>
        <w:autoSpaceDN w:val="0"/>
        <w:spacing w:before="240" w:line="240" w:lineRule="auto"/>
        <w:ind w:left="1440" w:right="919"/>
        <w:contextualSpacing/>
        <w:rPr>
          <w:szCs w:val="22"/>
        </w:rPr>
      </w:pPr>
    </w:p>
    <w:p w:rsidR="00A37178" w:rsidP="00A37178" w:rsidRDefault="00A37178" w14:paraId="54BD4F16" w14:textId="1EDECB80">
      <w:pPr>
        <w:widowControl w:val="0"/>
        <w:numPr>
          <w:ilvl w:val="2"/>
          <w:numId w:val="22"/>
        </w:numPr>
        <w:tabs>
          <w:tab w:val="left" w:pos="2159"/>
        </w:tabs>
        <w:autoSpaceDE w:val="0"/>
        <w:autoSpaceDN w:val="0"/>
        <w:spacing w:before="239" w:line="240" w:lineRule="auto"/>
        <w:ind w:left="1440" w:right="118"/>
        <w:contextualSpacing/>
        <w:rPr>
          <w:szCs w:val="22"/>
        </w:rPr>
      </w:pPr>
      <w:r w:rsidRPr="00A37178">
        <w:rPr>
          <w:rFonts w:eastAsia="Calibri" w:cs="Arial"/>
          <w:szCs w:val="24"/>
        </w:rPr>
        <w:t xml:space="preserve">Add a new footnote with the words “Medium Commercial volumetric only rate applied to customers on schedules EV-HP, TOU-M and OL-TOU;” </w:t>
      </w:r>
      <w:r>
        <w:rPr>
          <w:rFonts w:eastAsia="Calibri" w:cs="Arial"/>
          <w:szCs w:val="24"/>
        </w:rPr>
        <w:t>and</w:t>
      </w:r>
    </w:p>
    <w:p w:rsidRPr="00A37178" w:rsidR="00A37178" w:rsidP="00A37178" w:rsidRDefault="00A37178" w14:paraId="599586B6" w14:textId="77777777">
      <w:pPr>
        <w:widowControl w:val="0"/>
        <w:tabs>
          <w:tab w:val="left" w:pos="2159"/>
        </w:tabs>
        <w:autoSpaceDE w:val="0"/>
        <w:autoSpaceDN w:val="0"/>
        <w:spacing w:before="239" w:line="240" w:lineRule="auto"/>
        <w:ind w:right="118"/>
        <w:contextualSpacing/>
        <w:rPr>
          <w:szCs w:val="22"/>
        </w:rPr>
      </w:pPr>
    </w:p>
    <w:p w:rsidRPr="00A37178" w:rsidR="00A37178" w:rsidP="00A37178" w:rsidRDefault="00A37178" w14:paraId="5AF789E2" w14:textId="511D97AF">
      <w:pPr>
        <w:widowControl w:val="0"/>
        <w:numPr>
          <w:ilvl w:val="2"/>
          <w:numId w:val="22"/>
        </w:numPr>
        <w:tabs>
          <w:tab w:val="left" w:pos="2159"/>
        </w:tabs>
        <w:autoSpaceDE w:val="0"/>
        <w:autoSpaceDN w:val="0"/>
        <w:spacing w:before="239" w:line="240" w:lineRule="auto"/>
        <w:ind w:left="1440" w:right="118"/>
        <w:contextualSpacing/>
        <w:rPr>
          <w:szCs w:val="22"/>
        </w:rPr>
      </w:pPr>
      <w:bookmarkStart w:name="_Hlk241062738" w:id="3"/>
      <w:r w:rsidRPr="00A37178">
        <w:rPr>
          <w:rFonts w:eastAsia="Calibri" w:cs="Arial"/>
          <w:szCs w:val="24"/>
        </w:rPr>
        <w:t>Remove the words “and commercial</w:t>
      </w:r>
      <w:r w:rsidRPr="00A37178">
        <w:rPr>
          <w:rFonts w:eastAsia="Calibri" w:cs="Arial"/>
          <w:spacing w:val="-4"/>
          <w:szCs w:val="24"/>
        </w:rPr>
        <w:t xml:space="preserve"> </w:t>
      </w:r>
      <w:r w:rsidRPr="00A37178">
        <w:rPr>
          <w:rFonts w:eastAsia="Calibri" w:cs="Arial"/>
          <w:szCs w:val="24"/>
        </w:rPr>
        <w:t>electric</w:t>
      </w:r>
      <w:r w:rsidRPr="00A37178">
        <w:rPr>
          <w:rFonts w:eastAsia="Calibri" w:cs="Arial"/>
          <w:spacing w:val="-3"/>
          <w:szCs w:val="24"/>
        </w:rPr>
        <w:t xml:space="preserve"> </w:t>
      </w:r>
      <w:r w:rsidRPr="00A37178">
        <w:rPr>
          <w:rFonts w:eastAsia="Calibri" w:cs="Arial"/>
          <w:szCs w:val="24"/>
        </w:rPr>
        <w:t>vehicle</w:t>
      </w:r>
      <w:r w:rsidRPr="00A37178">
        <w:rPr>
          <w:rFonts w:eastAsia="Calibri" w:cs="Arial"/>
          <w:spacing w:val="-3"/>
          <w:szCs w:val="24"/>
        </w:rPr>
        <w:t xml:space="preserve"> </w:t>
      </w:r>
      <w:r w:rsidRPr="00A37178">
        <w:rPr>
          <w:rFonts w:eastAsia="Calibri" w:cs="Arial"/>
          <w:szCs w:val="24"/>
        </w:rPr>
        <w:t>(EV)</w:t>
      </w:r>
      <w:r w:rsidRPr="00A37178">
        <w:rPr>
          <w:rFonts w:eastAsia="Calibri" w:cs="Arial"/>
          <w:spacing w:val="-4"/>
          <w:szCs w:val="24"/>
        </w:rPr>
        <w:t xml:space="preserve"> </w:t>
      </w:r>
      <w:r w:rsidRPr="00A37178">
        <w:rPr>
          <w:rFonts w:eastAsia="Calibri" w:cs="Arial"/>
          <w:szCs w:val="24"/>
        </w:rPr>
        <w:t>customers</w:t>
      </w:r>
      <w:r w:rsidRPr="00A37178">
        <w:rPr>
          <w:rFonts w:eastAsia="Calibri" w:cs="Arial"/>
          <w:spacing w:val="-4"/>
          <w:szCs w:val="24"/>
        </w:rPr>
        <w:t xml:space="preserve"> </w:t>
      </w:r>
      <w:r w:rsidRPr="00A37178">
        <w:rPr>
          <w:rFonts w:eastAsia="Calibri" w:cs="Arial"/>
          <w:szCs w:val="24"/>
        </w:rPr>
        <w:t>on</w:t>
      </w:r>
      <w:r w:rsidRPr="00A37178">
        <w:rPr>
          <w:rFonts w:eastAsia="Calibri" w:cs="Arial"/>
          <w:spacing w:val="-2"/>
          <w:szCs w:val="24"/>
        </w:rPr>
        <w:t xml:space="preserve"> </w:t>
      </w:r>
      <w:r w:rsidRPr="00A37178">
        <w:rPr>
          <w:rFonts w:eastAsia="Calibri" w:cs="Arial"/>
          <w:szCs w:val="24"/>
        </w:rPr>
        <w:t>CPUC</w:t>
      </w:r>
      <w:r w:rsidRPr="00A37178">
        <w:rPr>
          <w:rFonts w:eastAsia="Calibri" w:cs="Arial"/>
          <w:spacing w:val="-4"/>
          <w:szCs w:val="24"/>
        </w:rPr>
        <w:t xml:space="preserve"> </w:t>
      </w:r>
      <w:r w:rsidRPr="00A37178">
        <w:rPr>
          <w:rFonts w:eastAsia="Calibri" w:cs="Arial"/>
          <w:szCs w:val="24"/>
        </w:rPr>
        <w:t>Schedule</w:t>
      </w:r>
      <w:r w:rsidRPr="00A37178">
        <w:rPr>
          <w:rFonts w:eastAsia="Calibri" w:cs="Arial"/>
          <w:spacing w:val="-3"/>
          <w:szCs w:val="24"/>
        </w:rPr>
        <w:t xml:space="preserve"> </w:t>
      </w:r>
      <w:r w:rsidRPr="00A37178">
        <w:rPr>
          <w:rFonts w:eastAsia="Calibri" w:cs="Arial"/>
          <w:szCs w:val="24"/>
        </w:rPr>
        <w:t>EV-HP” from the original footnote 4 (now footnote 5) of Appendix VII</w:t>
      </w:r>
      <w:r w:rsidR="00873F7E">
        <w:rPr>
          <w:rFonts w:eastAsia="Calibri" w:cs="Arial"/>
          <w:szCs w:val="24"/>
        </w:rPr>
        <w:t>.</w:t>
      </w:r>
    </w:p>
    <w:bookmarkEnd w:id="3"/>
    <w:p w:rsidRPr="00A37178" w:rsidR="00A37178" w:rsidP="00A37178" w:rsidRDefault="00A37178" w14:paraId="65717E10" w14:textId="6D114D2F">
      <w:pPr>
        <w:pStyle w:val="ListParagraph"/>
        <w:keepNext/>
        <w:keepLines/>
        <w:widowControl w:val="0"/>
        <w:numPr>
          <w:ilvl w:val="1"/>
          <w:numId w:val="5"/>
        </w:numPr>
        <w:tabs>
          <w:tab w:val="left" w:pos="1439"/>
        </w:tabs>
        <w:autoSpaceDE w:val="0"/>
        <w:autoSpaceDN w:val="0"/>
        <w:spacing w:before="242" w:after="40"/>
        <w:outlineLvl w:val="4"/>
        <w:rPr>
          <w:b/>
          <w:bCs/>
          <w:spacing w:val="-5"/>
        </w:rPr>
      </w:pPr>
      <w:r w:rsidRPr="00A37178">
        <w:rPr>
          <w:b/>
          <w:bCs/>
        </w:rPr>
        <w:t>Proposed</w:t>
      </w:r>
      <w:r w:rsidRPr="00A37178">
        <w:rPr>
          <w:b/>
          <w:bCs/>
          <w:spacing w:val="-7"/>
        </w:rPr>
        <w:t xml:space="preserve"> </w:t>
      </w:r>
      <w:r w:rsidRPr="00A37178">
        <w:rPr>
          <w:b/>
          <w:bCs/>
        </w:rPr>
        <w:t>Revisions</w:t>
      </w:r>
      <w:r w:rsidRPr="00A37178">
        <w:rPr>
          <w:b/>
          <w:bCs/>
          <w:spacing w:val="-7"/>
        </w:rPr>
        <w:t xml:space="preserve"> </w:t>
      </w:r>
      <w:r w:rsidRPr="00A37178">
        <w:rPr>
          <w:b/>
          <w:bCs/>
        </w:rPr>
        <w:t>to</w:t>
      </w:r>
      <w:r w:rsidRPr="00A37178">
        <w:rPr>
          <w:b/>
          <w:bCs/>
          <w:spacing w:val="-7"/>
        </w:rPr>
        <w:t xml:space="preserve"> </w:t>
      </w:r>
      <w:r w:rsidRPr="00A37178">
        <w:rPr>
          <w:b/>
          <w:bCs/>
        </w:rPr>
        <w:t>Appendix</w:t>
      </w:r>
      <w:r w:rsidRPr="00A37178">
        <w:rPr>
          <w:b/>
          <w:bCs/>
          <w:spacing w:val="-6"/>
        </w:rPr>
        <w:t xml:space="preserve"> </w:t>
      </w:r>
      <w:r w:rsidRPr="00A37178">
        <w:rPr>
          <w:b/>
          <w:bCs/>
          <w:spacing w:val="-5"/>
        </w:rPr>
        <w:t>IX</w:t>
      </w:r>
    </w:p>
    <w:p w:rsidRPr="00A37178" w:rsidR="00A37178" w:rsidP="00A37178" w:rsidRDefault="00A37178" w14:paraId="4DFE1948" w14:textId="77777777">
      <w:pPr>
        <w:widowControl w:val="0"/>
        <w:autoSpaceDE w:val="0"/>
        <w:autoSpaceDN w:val="0"/>
        <w:spacing w:line="240" w:lineRule="auto"/>
        <w:rPr>
          <w:sz w:val="22"/>
          <w:szCs w:val="22"/>
        </w:rPr>
      </w:pPr>
    </w:p>
    <w:p w:rsidRPr="00A37178" w:rsidR="00A37178" w:rsidP="00A37178" w:rsidRDefault="00A37178" w14:paraId="281CC775" w14:textId="77777777">
      <w:pPr>
        <w:widowControl w:val="0"/>
        <w:numPr>
          <w:ilvl w:val="0"/>
          <w:numId w:val="23"/>
        </w:numPr>
        <w:tabs>
          <w:tab w:val="left" w:pos="720"/>
        </w:tabs>
        <w:autoSpaceDE w:val="0"/>
        <w:autoSpaceDN w:val="0"/>
        <w:adjustRightInd w:val="0"/>
        <w:spacing w:line="240" w:lineRule="auto"/>
        <w:ind w:left="1440" w:hanging="720"/>
        <w:rPr>
          <w:szCs w:val="24"/>
        </w:rPr>
      </w:pPr>
      <w:r w:rsidRPr="00A37178">
        <w:rPr>
          <w:szCs w:val="24"/>
        </w:rPr>
        <w:t>In sections B.1 and B.3, add in: (1) “If the 12-month average coincident peak data is zero, the most recent year of available values will be used until updated non-zero 12-month average coincident peak data is available;” and (2) “If the End Use Customer billing determinants applicable to the Rate Effective Period are unavailable but the End Use Customer class is still allocated a portion of the revenue requirement, the most recent year with End Use Customer billing determinants will be used as a placeholder until updated billing determinants applicable to the Rate Effective Period are available.”</w:t>
      </w:r>
    </w:p>
    <w:p w:rsidRPr="00A37178" w:rsidR="00A37178" w:rsidP="00A37178" w:rsidRDefault="00A37178" w14:paraId="731CA759" w14:textId="77777777">
      <w:pPr>
        <w:tabs>
          <w:tab w:val="left" w:pos="720"/>
        </w:tabs>
        <w:autoSpaceDE w:val="0"/>
        <w:autoSpaceDN w:val="0"/>
        <w:adjustRightInd w:val="0"/>
        <w:spacing w:line="240" w:lineRule="auto"/>
        <w:ind w:left="1440"/>
        <w:rPr>
          <w:szCs w:val="24"/>
        </w:rPr>
      </w:pPr>
      <w:r w:rsidRPr="00A37178">
        <w:rPr>
          <w:szCs w:val="24"/>
        </w:rPr>
        <w:t xml:space="preserve"> </w:t>
      </w:r>
    </w:p>
    <w:p w:rsidRPr="00A37178" w:rsidR="00A37178" w:rsidP="00A37178" w:rsidRDefault="00A37178" w14:paraId="2D4CE4FD" w14:textId="0F53DE50">
      <w:pPr>
        <w:widowControl w:val="0"/>
        <w:numPr>
          <w:ilvl w:val="0"/>
          <w:numId w:val="23"/>
        </w:numPr>
        <w:tabs>
          <w:tab w:val="left" w:pos="720"/>
        </w:tabs>
        <w:autoSpaceDE w:val="0"/>
        <w:autoSpaceDN w:val="0"/>
        <w:adjustRightInd w:val="0"/>
        <w:spacing w:line="240" w:lineRule="auto"/>
        <w:ind w:left="1440" w:hanging="720"/>
        <w:rPr>
          <w:szCs w:val="24"/>
        </w:rPr>
      </w:pPr>
      <w:r w:rsidRPr="00A37178">
        <w:rPr>
          <w:rFonts w:eastAsia="Calibri" w:cs="Arial"/>
          <w:szCs w:val="24"/>
        </w:rPr>
        <w:t xml:space="preserve">In section A, section B.3, before section B.4, section B.4, section B.4.b, and section B.4.d, separate any instance where “Medium and Large Commercial/Industrial” was combined and replace it </w:t>
      </w:r>
      <w:r w:rsidR="00D50615">
        <w:rPr>
          <w:rFonts w:eastAsia="Calibri" w:cs="Arial"/>
          <w:szCs w:val="24"/>
        </w:rPr>
        <w:t>with</w:t>
      </w:r>
      <w:r w:rsidRPr="00A37178">
        <w:rPr>
          <w:rFonts w:eastAsia="Calibri" w:cs="Arial"/>
          <w:szCs w:val="24"/>
        </w:rPr>
        <w:t xml:space="preserve"> “Medium Commercial” and “Large Commercial/Industrial.”</w:t>
      </w:r>
    </w:p>
    <w:p w:rsidRPr="00A37178" w:rsidR="00A37178" w:rsidP="00A37178" w:rsidRDefault="00A37178" w14:paraId="79F987DC" w14:textId="77777777">
      <w:pPr>
        <w:widowControl w:val="0"/>
        <w:autoSpaceDE w:val="0"/>
        <w:autoSpaceDN w:val="0"/>
        <w:spacing w:line="240" w:lineRule="auto"/>
        <w:ind w:left="720"/>
        <w:contextualSpacing/>
        <w:rPr>
          <w:szCs w:val="24"/>
        </w:rPr>
      </w:pPr>
    </w:p>
    <w:p w:rsidRPr="00A37178" w:rsidR="00A37178" w:rsidP="00A37178" w:rsidRDefault="00A37178" w14:paraId="74DE0DD6" w14:textId="3E6B03D2">
      <w:pPr>
        <w:widowControl w:val="0"/>
        <w:numPr>
          <w:ilvl w:val="0"/>
          <w:numId w:val="23"/>
        </w:numPr>
        <w:tabs>
          <w:tab w:val="left" w:pos="720"/>
        </w:tabs>
        <w:autoSpaceDE w:val="0"/>
        <w:autoSpaceDN w:val="0"/>
        <w:adjustRightInd w:val="0"/>
        <w:spacing w:line="240" w:lineRule="auto"/>
        <w:ind w:left="1440" w:hanging="720"/>
        <w:rPr>
          <w:szCs w:val="24"/>
        </w:rPr>
      </w:pPr>
      <w:r w:rsidRPr="00A37178">
        <w:rPr>
          <w:szCs w:val="24"/>
        </w:rPr>
        <w:t xml:space="preserve">Remove section B.2 and associated references in sections B.3 (now </w:t>
      </w:r>
      <w:r w:rsidR="00D50615">
        <w:rPr>
          <w:szCs w:val="24"/>
        </w:rPr>
        <w:t>s</w:t>
      </w:r>
      <w:r w:rsidRPr="00A37178">
        <w:rPr>
          <w:szCs w:val="24"/>
        </w:rPr>
        <w:t xml:space="preserve">ection B.2) and B.4.b (now </w:t>
      </w:r>
      <w:r w:rsidR="00D50615">
        <w:rPr>
          <w:szCs w:val="24"/>
        </w:rPr>
        <w:t>s</w:t>
      </w:r>
      <w:r w:rsidRPr="00A37178">
        <w:rPr>
          <w:szCs w:val="24"/>
        </w:rPr>
        <w:t>ection B.3.b)</w:t>
      </w:r>
      <w:r w:rsidR="00F43E69">
        <w:rPr>
          <w:szCs w:val="24"/>
        </w:rPr>
        <w:t>.</w:t>
      </w:r>
    </w:p>
    <w:p w:rsidRPr="00A37178" w:rsidR="00A37178" w:rsidP="00A37178" w:rsidRDefault="00A37178" w14:paraId="05C5C1F5" w14:textId="77777777">
      <w:pPr>
        <w:widowControl w:val="0"/>
        <w:autoSpaceDE w:val="0"/>
        <w:autoSpaceDN w:val="0"/>
        <w:spacing w:line="240" w:lineRule="auto"/>
        <w:ind w:left="720"/>
        <w:contextualSpacing/>
        <w:rPr>
          <w:szCs w:val="24"/>
        </w:rPr>
      </w:pPr>
    </w:p>
    <w:p w:rsidRPr="00A37178" w:rsidR="00A37178" w:rsidP="00A37178" w:rsidRDefault="00A37178" w14:paraId="0EAE872F" w14:textId="77777777">
      <w:pPr>
        <w:widowControl w:val="0"/>
        <w:numPr>
          <w:ilvl w:val="0"/>
          <w:numId w:val="23"/>
        </w:numPr>
        <w:tabs>
          <w:tab w:val="left" w:pos="720"/>
        </w:tabs>
        <w:autoSpaceDE w:val="0"/>
        <w:autoSpaceDN w:val="0"/>
        <w:adjustRightInd w:val="0"/>
        <w:spacing w:line="240" w:lineRule="auto"/>
        <w:ind w:left="1440" w:hanging="720"/>
        <w:rPr>
          <w:szCs w:val="24"/>
        </w:rPr>
      </w:pPr>
      <w:bookmarkStart w:name="_Hlk241063658" w:id="4"/>
      <w:r w:rsidRPr="00A37178">
        <w:rPr>
          <w:szCs w:val="24"/>
        </w:rPr>
        <w:t xml:space="preserve">Create a new section B.3.b stating, “The maximum non-coincident demand charge shall be determined as the remaining revenue requirement allocated to the Medium Commercial or full revenue requirement allocated to the Large Commercial/Industrial Class described in paragraph “1” divided by the forecast metered maximum non coincident peak demand (kW) for the Rate Effective Period.” </w:t>
      </w:r>
    </w:p>
    <w:p w:rsidRPr="00A37178" w:rsidR="00A37178" w:rsidP="00A37178" w:rsidRDefault="00A37178" w14:paraId="5884CBDF" w14:textId="77777777">
      <w:pPr>
        <w:tabs>
          <w:tab w:val="left" w:pos="720"/>
        </w:tabs>
        <w:autoSpaceDE w:val="0"/>
        <w:autoSpaceDN w:val="0"/>
        <w:adjustRightInd w:val="0"/>
        <w:spacing w:line="240" w:lineRule="auto"/>
        <w:ind w:left="1440"/>
        <w:rPr>
          <w:szCs w:val="24"/>
        </w:rPr>
      </w:pPr>
    </w:p>
    <w:p w:rsidRPr="00A37178" w:rsidR="00A37178" w:rsidP="00F43E69" w:rsidRDefault="00A37178" w14:paraId="798E13E2" w14:textId="2259AE79">
      <w:pPr>
        <w:widowControl w:val="0"/>
        <w:numPr>
          <w:ilvl w:val="0"/>
          <w:numId w:val="23"/>
        </w:numPr>
        <w:tabs>
          <w:tab w:val="left" w:pos="720"/>
        </w:tabs>
        <w:autoSpaceDE w:val="0"/>
        <w:autoSpaceDN w:val="0"/>
        <w:adjustRightInd w:val="0"/>
        <w:spacing w:line="240" w:lineRule="auto"/>
        <w:ind w:left="1440" w:hanging="720"/>
        <w:rPr>
          <w:szCs w:val="24"/>
        </w:rPr>
      </w:pPr>
      <w:bookmarkStart w:name="_Hlk241062790" w:id="5"/>
      <w:r w:rsidRPr="00A37178">
        <w:rPr>
          <w:szCs w:val="24"/>
        </w:rPr>
        <w:t xml:space="preserve">Add a new B.3.c section, stating, “Medium Commercial – forecast metered energy (kWh), forecasted metered maximum non-coincident peak demand (kW), forecast metered maximum monthly demand, forecast seasonally differentiated peak period demands (kW), and forecast seasonally differentiated monthly coincident peak demand (kW), with seasons, as determined in accordance with </w:t>
      </w:r>
      <w:r w:rsidRPr="00A37178">
        <w:rPr>
          <w:szCs w:val="24"/>
        </w:rPr>
        <w:t xml:space="preserve">SDG&amp;E’s CPUC Tariff, for the Rate Effective Period. For commercial EV customers on CPUC </w:t>
      </w:r>
      <w:bookmarkEnd w:id="4"/>
      <w:bookmarkEnd w:id="5"/>
      <w:r w:rsidRPr="00A37178">
        <w:rPr>
          <w:szCs w:val="24"/>
        </w:rPr>
        <w:t>Schedule EV-HP, or customers on Schedules TOU-M and OL-TOU, forecasted metered energy (kWh) shall be used for the Rate Effective Period</w:t>
      </w:r>
      <w:r w:rsidR="00F43E69">
        <w:rPr>
          <w:szCs w:val="24"/>
        </w:rPr>
        <w:t>.</w:t>
      </w:r>
      <w:r w:rsidRPr="00A37178">
        <w:rPr>
          <w:szCs w:val="24"/>
        </w:rPr>
        <w:t xml:space="preserve">” </w:t>
      </w:r>
    </w:p>
    <w:p w:rsidRPr="00A37178" w:rsidR="00A37178" w:rsidP="00A37178" w:rsidRDefault="00A37178" w14:paraId="5A9DB831" w14:textId="77777777">
      <w:pPr>
        <w:tabs>
          <w:tab w:val="left" w:pos="720"/>
        </w:tabs>
        <w:autoSpaceDE w:val="0"/>
        <w:autoSpaceDN w:val="0"/>
        <w:adjustRightInd w:val="0"/>
        <w:spacing w:line="240" w:lineRule="auto"/>
        <w:rPr>
          <w:szCs w:val="24"/>
        </w:rPr>
      </w:pPr>
    </w:p>
    <w:p w:rsidRPr="00A37178" w:rsidR="00A37178" w:rsidP="00A37178" w:rsidRDefault="00A37178" w14:paraId="6FB009A3" w14:textId="61BB11E3">
      <w:pPr>
        <w:widowControl w:val="0"/>
        <w:numPr>
          <w:ilvl w:val="0"/>
          <w:numId w:val="23"/>
        </w:numPr>
        <w:tabs>
          <w:tab w:val="left" w:pos="720"/>
        </w:tabs>
        <w:autoSpaceDE w:val="0"/>
        <w:autoSpaceDN w:val="0"/>
        <w:adjustRightInd w:val="0"/>
        <w:spacing w:line="240" w:lineRule="auto"/>
        <w:ind w:left="1440" w:hanging="720"/>
        <w:rPr>
          <w:szCs w:val="24"/>
        </w:rPr>
      </w:pPr>
      <w:bookmarkStart w:name="_Hlk241062849" w:id="6"/>
      <w:r w:rsidRPr="00A37178">
        <w:rPr>
          <w:szCs w:val="24"/>
        </w:rPr>
        <w:t xml:space="preserve">In former Section B.3.c (now B.3.d), remove the </w:t>
      </w:r>
      <w:r w:rsidR="00D50615">
        <w:rPr>
          <w:szCs w:val="24"/>
        </w:rPr>
        <w:t xml:space="preserve">following </w:t>
      </w:r>
      <w:r w:rsidRPr="00A37178">
        <w:rPr>
          <w:szCs w:val="24"/>
        </w:rPr>
        <w:t>words</w:t>
      </w:r>
      <w:r w:rsidR="00D50615">
        <w:rPr>
          <w:szCs w:val="24"/>
        </w:rPr>
        <w:t>:</w:t>
      </w:r>
      <w:r w:rsidRPr="00A37178">
        <w:rPr>
          <w:szCs w:val="24"/>
        </w:rPr>
        <w:t xml:space="preserve"> “and commercial EV customers on CPUC Schedule EV-HP</w:t>
      </w:r>
      <w:r w:rsidR="00D50615">
        <w:rPr>
          <w:szCs w:val="24"/>
        </w:rPr>
        <w:t>;</w:t>
      </w:r>
      <w:r w:rsidRPr="00A37178">
        <w:rPr>
          <w:szCs w:val="24"/>
        </w:rPr>
        <w:t>” and “Also, Schedule OL-TOU customers pay small commercial rates based on kWh of the small commercial customer class</w:t>
      </w:r>
      <w:r w:rsidR="00F43E69">
        <w:rPr>
          <w:szCs w:val="24"/>
        </w:rPr>
        <w:t>.</w:t>
      </w:r>
      <w:r w:rsidRPr="00A37178">
        <w:rPr>
          <w:szCs w:val="24"/>
        </w:rPr>
        <w:t xml:space="preserve">” </w:t>
      </w:r>
    </w:p>
    <w:bookmarkEnd w:id="6"/>
    <w:p w:rsidRPr="00A37178" w:rsidR="00A37178" w:rsidP="00A37178" w:rsidRDefault="00A37178" w14:paraId="4F6EAA40" w14:textId="77777777">
      <w:pPr>
        <w:widowControl w:val="0"/>
        <w:autoSpaceDE w:val="0"/>
        <w:autoSpaceDN w:val="0"/>
        <w:spacing w:line="240" w:lineRule="auto"/>
        <w:ind w:left="720"/>
        <w:contextualSpacing/>
        <w:rPr>
          <w:szCs w:val="24"/>
        </w:rPr>
      </w:pPr>
    </w:p>
    <w:p w:rsidRPr="00A37178" w:rsidR="00A37178" w:rsidP="00A37178" w:rsidRDefault="00A37178" w14:paraId="638632CA" w14:textId="0FAA8066">
      <w:pPr>
        <w:widowControl w:val="0"/>
        <w:numPr>
          <w:ilvl w:val="0"/>
          <w:numId w:val="23"/>
        </w:numPr>
        <w:tabs>
          <w:tab w:val="left" w:pos="720"/>
        </w:tabs>
        <w:autoSpaceDE w:val="0"/>
        <w:autoSpaceDN w:val="0"/>
        <w:adjustRightInd w:val="0"/>
        <w:spacing w:line="240" w:lineRule="auto"/>
        <w:ind w:left="1440" w:hanging="720"/>
        <w:rPr>
          <w:szCs w:val="24"/>
        </w:rPr>
      </w:pPr>
      <w:r w:rsidRPr="00A37178">
        <w:rPr>
          <w:szCs w:val="24"/>
        </w:rPr>
        <w:t>Create a new section B.4.a, stating, “For the Medium Commercial class, 25 percent of the allocated revenue requirement is allocated to recovery through a flat volumetric rate calculated by dividing the 25 percent of the allocated revenue requirement by the kWh for the Rate Effective Period. The remaining 75 percent of the allocated Medium Commercial revenue requirement continues to the next step</w:t>
      </w:r>
      <w:r w:rsidR="00F43E69">
        <w:rPr>
          <w:szCs w:val="24"/>
        </w:rPr>
        <w:t>.</w:t>
      </w:r>
      <w:r w:rsidRPr="00A37178">
        <w:rPr>
          <w:szCs w:val="24"/>
        </w:rPr>
        <w:t>”</w:t>
      </w:r>
    </w:p>
    <w:p w:rsidRPr="00A37178" w:rsidR="00A37178" w:rsidP="00A37178" w:rsidRDefault="00A37178" w14:paraId="2E574B8C" w14:textId="77777777">
      <w:pPr>
        <w:tabs>
          <w:tab w:val="left" w:pos="720"/>
        </w:tabs>
        <w:autoSpaceDE w:val="0"/>
        <w:autoSpaceDN w:val="0"/>
        <w:adjustRightInd w:val="0"/>
        <w:spacing w:line="240" w:lineRule="auto"/>
        <w:rPr>
          <w:szCs w:val="24"/>
        </w:rPr>
      </w:pPr>
    </w:p>
    <w:p w:rsidRPr="00A37178" w:rsidR="00A37178" w:rsidP="00A37178" w:rsidRDefault="00A37178" w14:paraId="65F9FD5E" w14:textId="77777777">
      <w:pPr>
        <w:widowControl w:val="0"/>
        <w:numPr>
          <w:ilvl w:val="0"/>
          <w:numId w:val="23"/>
        </w:numPr>
        <w:tabs>
          <w:tab w:val="left" w:pos="720"/>
        </w:tabs>
        <w:autoSpaceDE w:val="0"/>
        <w:autoSpaceDN w:val="0"/>
        <w:adjustRightInd w:val="0"/>
        <w:spacing w:line="240" w:lineRule="auto"/>
        <w:ind w:left="1440" w:hanging="720"/>
        <w:rPr>
          <w:szCs w:val="24"/>
        </w:rPr>
      </w:pPr>
      <w:r w:rsidRPr="00A37178">
        <w:rPr>
          <w:szCs w:val="24"/>
        </w:rPr>
        <w:t xml:space="preserve">Modify Section B.4.d to state, “For Medium Commercial Rate Schedules AL-TOU-M and DG-R-M and Large Commercial/Industrial Rate Schedules AL-TOU-L, AL-TOU2, and DG-R-L, the residual 10% of revenue referenced in paragraph “4.c” above shall be recovered through a </w:t>
      </w:r>
      <w:proofErr w:type="gramStart"/>
      <w:r w:rsidRPr="00A37178">
        <w:rPr>
          <w:szCs w:val="24"/>
        </w:rPr>
        <w:t>seasonally-differentiated</w:t>
      </w:r>
      <w:proofErr w:type="gramEnd"/>
      <w:r w:rsidRPr="00A37178">
        <w:rPr>
          <w:szCs w:val="24"/>
        </w:rPr>
        <w:t xml:space="preserve"> peak period demand charge.”</w:t>
      </w:r>
    </w:p>
    <w:p w:rsidR="009D0438" w:rsidP="00F43E69" w:rsidRDefault="009D0438" w14:paraId="544AB8F4" w14:textId="77777777">
      <w:pPr>
        <w:pStyle w:val="BodyText"/>
        <w:spacing w:after="0" w:line="240" w:lineRule="auto"/>
        <w:jc w:val="both"/>
        <w:rPr>
          <w:i/>
          <w:iCs/>
        </w:rPr>
      </w:pPr>
    </w:p>
    <w:p w:rsidRPr="009D0438" w:rsidR="009D0438" w:rsidP="009D0438" w:rsidRDefault="009D0438" w14:paraId="170DBBD6" w14:textId="538995D8">
      <w:pPr>
        <w:pStyle w:val="BodyText"/>
        <w:numPr>
          <w:ilvl w:val="0"/>
          <w:numId w:val="5"/>
        </w:numPr>
        <w:jc w:val="both"/>
        <w:rPr>
          <w:b/>
          <w:bCs/>
        </w:rPr>
      </w:pPr>
      <w:r w:rsidRPr="009D0438">
        <w:rPr>
          <w:b/>
          <w:bCs/>
        </w:rPr>
        <w:t>LIST OF DOCUMENTS SUBMITTED</w:t>
      </w:r>
    </w:p>
    <w:p w:rsidRPr="009D0438" w:rsidR="009D0438" w:rsidP="009D0438" w:rsidRDefault="009D0438" w14:paraId="04EBB5CC" w14:textId="77777777">
      <w:pPr>
        <w:pStyle w:val="BodyText"/>
        <w:jc w:val="both"/>
      </w:pPr>
      <w:r w:rsidRPr="009D0438">
        <w:t>This Filing consists of the following documents:</w:t>
      </w:r>
    </w:p>
    <w:p w:rsidRPr="009D0438" w:rsidR="009D0438" w:rsidP="009D0438" w:rsidRDefault="009D0438" w14:paraId="61A9F74C" w14:textId="2737ECA9">
      <w:pPr>
        <w:pStyle w:val="BodyText"/>
        <w:numPr>
          <w:ilvl w:val="0"/>
          <w:numId w:val="24"/>
        </w:numPr>
        <w:jc w:val="both"/>
      </w:pPr>
      <w:r>
        <w:t>Transmittal Letter</w:t>
      </w:r>
    </w:p>
    <w:p w:rsidRPr="009D0438" w:rsidR="009D0438" w:rsidP="009D0438" w:rsidRDefault="009D0438" w14:paraId="5081148C" w14:textId="77777777">
      <w:pPr>
        <w:pStyle w:val="BodyText"/>
        <w:numPr>
          <w:ilvl w:val="0"/>
          <w:numId w:val="24"/>
        </w:numPr>
        <w:jc w:val="both"/>
      </w:pPr>
      <w:r w:rsidRPr="009D0438">
        <w:t>Attachment A – Redlined Appendix VII and Appendix IX;</w:t>
      </w:r>
    </w:p>
    <w:p w:rsidRPr="009D0438" w:rsidR="009D0438" w:rsidP="009D0438" w:rsidRDefault="009D0438" w14:paraId="4E2A9F41" w14:textId="28E944B4">
      <w:pPr>
        <w:pStyle w:val="BodyText"/>
        <w:numPr>
          <w:ilvl w:val="0"/>
          <w:numId w:val="24"/>
        </w:numPr>
        <w:jc w:val="both"/>
      </w:pPr>
      <w:r w:rsidRPr="009D0438">
        <w:t>Attachment B – Clean Appendix VII and Appendix IX;</w:t>
      </w:r>
    </w:p>
    <w:p w:rsidRPr="009D0438" w:rsidR="009D0438" w:rsidP="009D0438" w:rsidRDefault="009D0438" w14:paraId="542C6983" w14:textId="515843F1">
      <w:pPr>
        <w:pStyle w:val="BodyText"/>
        <w:numPr>
          <w:ilvl w:val="0"/>
          <w:numId w:val="24"/>
        </w:numPr>
        <w:jc w:val="both"/>
        <w:rPr/>
      </w:pPr>
      <w:r w:rsidR="009D0438">
        <w:rPr/>
        <w:t xml:space="preserve">Attachment C – Prepared Direct Testimony of </w:t>
      </w:r>
      <w:r w:rsidR="009D0438">
        <w:rPr/>
        <w:t>Mindy Guardado</w:t>
      </w:r>
      <w:r w:rsidR="009D0438">
        <w:rPr/>
        <w:t xml:space="preserve"> on Behalf of San Diego Gas &amp; Electric Company (Exhibit No. SDG</w:t>
      </w:r>
      <w:r w:rsidR="009D0438">
        <w:rPr/>
        <w:t>E</w:t>
      </w:r>
      <w:r w:rsidR="009D0438">
        <w:rPr/>
        <w:t>-1);</w:t>
      </w:r>
    </w:p>
    <w:p w:rsidR="00EF33A7" w:rsidP="00EF33A7" w:rsidRDefault="00EF33A7" w14:paraId="0DA75713" w14:textId="1029983C">
      <w:pPr>
        <w:pStyle w:val="BodyText"/>
        <w:numPr>
          <w:ilvl w:val="0"/>
          <w:numId w:val="24"/>
        </w:numPr>
        <w:jc w:val="both"/>
        <w:rPr/>
      </w:pPr>
      <w:r w:rsidR="00EF33A7">
        <w:rPr/>
        <w:t xml:space="preserve">Attachment </w:t>
      </w:r>
      <w:r w:rsidR="5F7A3F40">
        <w:rPr/>
        <w:t>D</w:t>
      </w:r>
      <w:r w:rsidR="00EF33A7">
        <w:rPr/>
        <w:t xml:space="preserve"> – Statement BL</w:t>
      </w:r>
      <w:r w:rsidR="00F43E69">
        <w:rPr/>
        <w:t>;</w:t>
      </w:r>
    </w:p>
    <w:p w:rsidR="00EF33A7" w:rsidP="00EF33A7" w:rsidRDefault="00EF33A7" w14:paraId="67C41D86" w14:textId="43172730">
      <w:pPr>
        <w:pStyle w:val="BodyText"/>
        <w:numPr>
          <w:ilvl w:val="0"/>
          <w:numId w:val="24"/>
        </w:numPr>
        <w:jc w:val="both"/>
        <w:rPr/>
      </w:pPr>
      <w:r w:rsidR="00EF33A7">
        <w:rPr/>
        <w:t xml:space="preserve">Attachment </w:t>
      </w:r>
      <w:r w:rsidR="06C054CF">
        <w:rPr/>
        <w:t>E</w:t>
      </w:r>
      <w:r w:rsidR="00EF33A7">
        <w:rPr/>
        <w:t xml:space="preserve"> – Statement BL for RS</w:t>
      </w:r>
      <w:r w:rsidR="00F43E69">
        <w:rPr/>
        <w:t>;</w:t>
      </w:r>
    </w:p>
    <w:p w:rsidR="00EF33A7" w:rsidP="00EF33A7" w:rsidRDefault="00EF33A7" w14:paraId="69AD86EA" w14:textId="70CDB9F7">
      <w:pPr>
        <w:pStyle w:val="BodyText"/>
        <w:numPr>
          <w:ilvl w:val="0"/>
          <w:numId w:val="24"/>
        </w:numPr>
        <w:jc w:val="both"/>
        <w:rPr/>
      </w:pPr>
      <w:r w:rsidR="00EF33A7">
        <w:rPr/>
        <w:t xml:space="preserve">Attachment </w:t>
      </w:r>
      <w:r w:rsidR="65746B31">
        <w:rPr/>
        <w:t>F</w:t>
      </w:r>
      <w:r w:rsidR="00EF33A7">
        <w:rPr/>
        <w:t xml:space="preserve"> – Statement BG</w:t>
      </w:r>
      <w:r w:rsidR="00F43E69">
        <w:rPr/>
        <w:t>;</w:t>
      </w:r>
    </w:p>
    <w:p w:rsidR="00EF33A7" w:rsidP="00EF33A7" w:rsidRDefault="00EF33A7" w14:paraId="411DB073" w14:textId="3636BC13">
      <w:pPr>
        <w:pStyle w:val="BodyText"/>
        <w:numPr>
          <w:ilvl w:val="0"/>
          <w:numId w:val="24"/>
        </w:numPr>
        <w:jc w:val="both"/>
        <w:rPr/>
      </w:pPr>
      <w:r w:rsidR="00EF33A7">
        <w:rPr/>
        <w:t xml:space="preserve">Attachment </w:t>
      </w:r>
      <w:r w:rsidR="176F9A02">
        <w:rPr/>
        <w:t>G</w:t>
      </w:r>
      <w:r w:rsidR="00EF33A7">
        <w:rPr/>
        <w:t xml:space="preserve"> – Statement BG for RS</w:t>
      </w:r>
      <w:r w:rsidR="00F43E69">
        <w:rPr/>
        <w:t>;</w:t>
      </w:r>
    </w:p>
    <w:p w:rsidR="00EF33A7" w:rsidP="00EF33A7" w:rsidRDefault="00EF33A7" w14:paraId="2B0705C5" w14:textId="7BEC1DF3">
      <w:pPr>
        <w:pStyle w:val="BodyText"/>
        <w:numPr>
          <w:ilvl w:val="0"/>
          <w:numId w:val="24"/>
        </w:numPr>
        <w:jc w:val="both"/>
        <w:rPr/>
      </w:pPr>
      <w:r w:rsidR="00EF33A7">
        <w:rPr/>
        <w:t xml:space="preserve">Attachment </w:t>
      </w:r>
      <w:r w:rsidR="1C72B24F">
        <w:rPr/>
        <w:t>H</w:t>
      </w:r>
      <w:r w:rsidR="00EF33A7">
        <w:rPr/>
        <w:t xml:space="preserve"> – Statement BH</w:t>
      </w:r>
      <w:r w:rsidR="00F43E69">
        <w:rPr/>
        <w:t>; and</w:t>
      </w:r>
    </w:p>
    <w:p w:rsidRPr="009D0438" w:rsidR="00EF33A7" w:rsidP="00EF33A7" w:rsidRDefault="00EF33A7" w14:paraId="47750FD0" w14:textId="6DC088CF">
      <w:pPr>
        <w:pStyle w:val="BodyText"/>
        <w:numPr>
          <w:ilvl w:val="0"/>
          <w:numId w:val="24"/>
        </w:numPr>
        <w:jc w:val="both"/>
        <w:rPr/>
      </w:pPr>
      <w:r w:rsidR="00EF33A7">
        <w:rPr/>
        <w:t xml:space="preserve">Attachment </w:t>
      </w:r>
      <w:r w:rsidR="2EA335A1">
        <w:rPr/>
        <w:t>I</w:t>
      </w:r>
      <w:r w:rsidR="00EF33A7">
        <w:rPr/>
        <w:t xml:space="preserve"> – Statement BH for RS</w:t>
      </w:r>
      <w:r w:rsidR="00F43E69">
        <w:rPr/>
        <w:t>.</w:t>
      </w:r>
    </w:p>
    <w:p w:rsidRPr="007D7B88" w:rsidR="007D7B88" w:rsidP="0091683D" w:rsidRDefault="007D7B88" w14:paraId="774BF904" w14:textId="3AF650B4">
      <w:pPr>
        <w:pStyle w:val="Heading1"/>
        <w:numPr>
          <w:ilvl w:val="0"/>
          <w:numId w:val="5"/>
        </w:numPr>
        <w:tabs>
          <w:tab w:val="left" w:pos="720"/>
        </w:tabs>
        <w:spacing w:after="180"/>
        <w:jc w:val="both"/>
      </w:pPr>
      <w:r>
        <w:t>REQUEST FOR WAIVERS</w:t>
      </w:r>
    </w:p>
    <w:p w:rsidR="00DD4CEF" w:rsidP="0091683D" w:rsidRDefault="00DD4CEF" w14:paraId="4974FA82" w14:textId="7DF9C05C">
      <w:pPr>
        <w:pStyle w:val="BodyText"/>
        <w:ind w:firstLine="720"/>
        <w:jc w:val="both"/>
      </w:pPr>
      <w:r>
        <w:t>To</w:t>
      </w:r>
      <w:r>
        <w:rPr>
          <w:spacing w:val="-3"/>
        </w:rPr>
        <w:t xml:space="preserve"> </w:t>
      </w:r>
      <w:r>
        <w:t>the</w:t>
      </w:r>
      <w:r>
        <w:rPr>
          <w:spacing w:val="-4"/>
        </w:rPr>
        <w:t xml:space="preserve"> </w:t>
      </w:r>
      <w:r>
        <w:t>extent</w:t>
      </w:r>
      <w:r>
        <w:rPr>
          <w:spacing w:val="-3"/>
        </w:rPr>
        <w:t xml:space="preserve"> </w:t>
      </w:r>
      <w:r>
        <w:t>necessary</w:t>
      </w:r>
      <w:r>
        <w:rPr>
          <w:spacing w:val="-3"/>
        </w:rPr>
        <w:t xml:space="preserve"> </w:t>
      </w:r>
      <w:r>
        <w:t>to</w:t>
      </w:r>
      <w:r>
        <w:rPr>
          <w:spacing w:val="-3"/>
        </w:rPr>
        <w:t xml:space="preserve"> </w:t>
      </w:r>
      <w:r>
        <w:t>grant</w:t>
      </w:r>
      <w:r>
        <w:rPr>
          <w:spacing w:val="-3"/>
        </w:rPr>
        <w:t xml:space="preserve"> </w:t>
      </w:r>
      <w:r>
        <w:t>the</w:t>
      </w:r>
      <w:r w:rsidR="00D50615">
        <w:t xml:space="preserve"> requested</w:t>
      </w:r>
      <w:r>
        <w:rPr>
          <w:spacing w:val="-4"/>
        </w:rPr>
        <w:t xml:space="preserve"> </w:t>
      </w:r>
      <w:r>
        <w:t>relief,</w:t>
      </w:r>
      <w:r>
        <w:rPr>
          <w:spacing w:val="-3"/>
        </w:rPr>
        <w:t xml:space="preserve"> SDG&amp;E </w:t>
      </w:r>
      <w:r>
        <w:t>respectfully</w:t>
      </w:r>
      <w:r>
        <w:rPr>
          <w:spacing w:val="-3"/>
        </w:rPr>
        <w:t xml:space="preserve"> </w:t>
      </w:r>
      <w:r>
        <w:t>requests that the Commission waive any and all other requirements of its regulations</w:t>
      </w:r>
      <w:r w:rsidR="00A349C5">
        <w:t>, including waiv</w:t>
      </w:r>
      <w:r w:rsidR="006138A4">
        <w:t xml:space="preserve">er of the filing requirements contained in Part 35 of the </w:t>
      </w:r>
      <w:r w:rsidR="00F43E69">
        <w:t>Commission’s</w:t>
      </w:r>
      <w:r w:rsidR="006138A4">
        <w:t xml:space="preserve"> </w:t>
      </w:r>
      <w:r w:rsidR="00E93F02">
        <w:t>regulations</w:t>
      </w:r>
      <w:r w:rsidR="006138A4">
        <w:t xml:space="preserve"> to permit this Filing to be made effective, as proposed</w:t>
      </w:r>
      <w:r>
        <w:t>.</w:t>
      </w:r>
    </w:p>
    <w:p w:rsidR="00F81D2D" w:rsidP="00F81D2D" w:rsidRDefault="00F81D2D" w14:paraId="172C1475" w14:textId="77777777">
      <w:pPr>
        <w:pStyle w:val="Heading1"/>
        <w:numPr>
          <w:ilvl w:val="0"/>
          <w:numId w:val="5"/>
        </w:numPr>
        <w:spacing w:after="0" w:line="360" w:lineRule="auto"/>
        <w:jc w:val="both"/>
      </w:pPr>
      <w:r>
        <w:t>COMMUNICATIONS</w:t>
      </w:r>
    </w:p>
    <w:p w:rsidRPr="007C7A76" w:rsidR="00F81D2D" w:rsidP="00F43E69" w:rsidRDefault="00F81D2D" w14:paraId="11198288" w14:textId="5BFD509D">
      <w:pPr>
        <w:pStyle w:val="BodyTextFirstIndent"/>
        <w:ind w:firstLine="720"/>
        <w:rPr>
          <w:szCs w:val="24"/>
        </w:rPr>
      </w:pPr>
      <w:r w:rsidRPr="007C7A76">
        <w:rPr>
          <w:szCs w:val="24"/>
        </w:rPr>
        <w:t>SDG&amp;E requests that all correspondence, pleadings, and other communications concerning this filing be served upon the following:</w:t>
      </w:r>
    </w:p>
    <w:p w:rsidRPr="007C7A76" w:rsidR="00F81D2D" w:rsidP="00F81D2D" w:rsidRDefault="00F81D2D" w14:paraId="1AB14D76" w14:textId="77777777">
      <w:pPr>
        <w:pStyle w:val="BodyTextFirstIndent"/>
        <w:ind w:left="720" w:firstLine="0"/>
        <w:jc w:val="both"/>
        <w:rPr>
          <w:szCs w:val="24"/>
        </w:rPr>
      </w:pPr>
    </w:p>
    <w:tbl>
      <w:tblPr>
        <w:tblW w:w="3933" w:type="dxa"/>
        <w:tblInd w:w="738" w:type="dxa"/>
        <w:tblLook w:val="04A0" w:firstRow="1" w:lastRow="0" w:firstColumn="1" w:lastColumn="0" w:noHBand="0" w:noVBand="1"/>
      </w:tblPr>
      <w:tblGrid>
        <w:gridCol w:w="3933"/>
      </w:tblGrid>
      <w:tr w:rsidRPr="007C7A76" w:rsidR="00F81D2D" w:rsidTr="008512D7" w14:paraId="5AC622DE" w14:textId="77777777">
        <w:tc>
          <w:tcPr>
            <w:tcW w:w="3933" w:type="dxa"/>
          </w:tcPr>
          <w:p w:rsidR="00F81D2D" w:rsidP="008512D7" w:rsidRDefault="00F81D2D" w14:paraId="1EF5683C" w14:textId="77777777">
            <w:pPr>
              <w:autoSpaceDE w:val="0"/>
              <w:autoSpaceDN w:val="0"/>
              <w:adjustRightInd w:val="0"/>
              <w:jc w:val="both"/>
              <w:rPr>
                <w:szCs w:val="24"/>
              </w:rPr>
            </w:pPr>
            <w:r>
              <w:rPr>
                <w:szCs w:val="24"/>
              </w:rPr>
              <w:t>Ross R. Fulton</w:t>
            </w:r>
          </w:p>
          <w:p w:rsidRPr="007C7A76" w:rsidR="00F81D2D" w:rsidP="008512D7" w:rsidRDefault="00F81D2D" w14:paraId="47AC7A65" w14:textId="77777777">
            <w:pPr>
              <w:autoSpaceDE w:val="0"/>
              <w:autoSpaceDN w:val="0"/>
              <w:adjustRightInd w:val="0"/>
              <w:jc w:val="both"/>
              <w:rPr>
                <w:szCs w:val="24"/>
              </w:rPr>
            </w:pPr>
            <w:r w:rsidRPr="007C7A76">
              <w:rPr>
                <w:szCs w:val="24"/>
              </w:rPr>
              <w:t>Senior Counsel</w:t>
            </w:r>
          </w:p>
          <w:p w:rsidRPr="007C7A76" w:rsidR="00F81D2D" w:rsidP="008512D7" w:rsidRDefault="00F81D2D" w14:paraId="3EE06229" w14:textId="77777777">
            <w:pPr>
              <w:autoSpaceDE w:val="0"/>
              <w:autoSpaceDN w:val="0"/>
              <w:adjustRightInd w:val="0"/>
              <w:jc w:val="both"/>
              <w:rPr>
                <w:szCs w:val="24"/>
              </w:rPr>
            </w:pPr>
            <w:r w:rsidRPr="007C7A76">
              <w:rPr>
                <w:szCs w:val="24"/>
              </w:rPr>
              <w:t>San Diego Gas &amp; Electric Company</w:t>
            </w:r>
          </w:p>
          <w:p w:rsidRPr="007C7A76" w:rsidR="00F81D2D" w:rsidP="008512D7" w:rsidRDefault="00F81D2D" w14:paraId="4122A732" w14:textId="77777777">
            <w:pPr>
              <w:autoSpaceDE w:val="0"/>
              <w:autoSpaceDN w:val="0"/>
              <w:adjustRightInd w:val="0"/>
              <w:jc w:val="both"/>
              <w:rPr>
                <w:szCs w:val="24"/>
              </w:rPr>
            </w:pPr>
            <w:r w:rsidRPr="007C7A76">
              <w:rPr>
                <w:szCs w:val="24"/>
              </w:rPr>
              <w:t>8330 Century Park Court, CP32D</w:t>
            </w:r>
          </w:p>
          <w:p w:rsidRPr="007C7A76" w:rsidR="00F81D2D" w:rsidP="008512D7" w:rsidRDefault="00F81D2D" w14:paraId="6974FD02" w14:textId="77777777">
            <w:pPr>
              <w:autoSpaceDE w:val="0"/>
              <w:autoSpaceDN w:val="0"/>
              <w:adjustRightInd w:val="0"/>
              <w:jc w:val="both"/>
              <w:rPr>
                <w:szCs w:val="24"/>
              </w:rPr>
            </w:pPr>
            <w:r w:rsidRPr="007C7A76">
              <w:rPr>
                <w:szCs w:val="24"/>
              </w:rPr>
              <w:t>San Diego, CA 92123</w:t>
            </w:r>
          </w:p>
          <w:p w:rsidRPr="007C7A76" w:rsidR="00F81D2D" w:rsidP="008512D7" w:rsidRDefault="00F81D2D" w14:paraId="481B1962" w14:textId="77777777">
            <w:pPr>
              <w:autoSpaceDE w:val="0"/>
              <w:autoSpaceDN w:val="0"/>
              <w:adjustRightInd w:val="0"/>
              <w:jc w:val="both"/>
              <w:rPr>
                <w:szCs w:val="24"/>
              </w:rPr>
            </w:pPr>
            <w:r w:rsidRPr="007C7A76">
              <w:rPr>
                <w:szCs w:val="24"/>
              </w:rPr>
              <w:t xml:space="preserve">Telephone: </w:t>
            </w:r>
            <w:r>
              <w:rPr>
                <w:szCs w:val="24"/>
              </w:rPr>
              <w:t>619-372-7529</w:t>
            </w:r>
          </w:p>
          <w:p w:rsidRPr="007C7A76" w:rsidR="00F81D2D" w:rsidP="008512D7" w:rsidRDefault="00F81D2D" w14:paraId="52A98E68" w14:textId="77777777">
            <w:pPr>
              <w:autoSpaceDE w:val="0"/>
              <w:autoSpaceDN w:val="0"/>
              <w:adjustRightInd w:val="0"/>
              <w:jc w:val="both"/>
              <w:rPr>
                <w:szCs w:val="24"/>
              </w:rPr>
            </w:pPr>
            <w:r w:rsidRPr="007C7A76">
              <w:rPr>
                <w:szCs w:val="24"/>
              </w:rPr>
              <w:t xml:space="preserve">E-mail: </w:t>
            </w:r>
            <w:r>
              <w:rPr>
                <w:szCs w:val="24"/>
              </w:rPr>
              <w:t>RFulton</w:t>
            </w:r>
            <w:r w:rsidRPr="007C7A76">
              <w:rPr>
                <w:szCs w:val="24"/>
              </w:rPr>
              <w:t>@sdge.com</w:t>
            </w:r>
          </w:p>
          <w:p w:rsidR="00F81D2D" w:rsidP="008512D7" w:rsidRDefault="00F81D2D" w14:paraId="4DC90266" w14:textId="77777777">
            <w:pPr>
              <w:jc w:val="both"/>
              <w:rPr>
                <w:szCs w:val="24"/>
              </w:rPr>
            </w:pPr>
          </w:p>
          <w:p w:rsidRPr="007C7A76" w:rsidR="00F81D2D" w:rsidP="008512D7" w:rsidRDefault="00F81D2D" w14:paraId="336DDBFF" w14:textId="77777777">
            <w:pPr>
              <w:autoSpaceDE w:val="0"/>
              <w:autoSpaceDN w:val="0"/>
              <w:adjustRightInd w:val="0"/>
              <w:jc w:val="both"/>
              <w:rPr>
                <w:szCs w:val="24"/>
              </w:rPr>
            </w:pPr>
            <w:r w:rsidRPr="007C7A76">
              <w:rPr>
                <w:szCs w:val="24"/>
              </w:rPr>
              <w:t>Adam P. Currey</w:t>
            </w:r>
          </w:p>
          <w:p w:rsidRPr="007C7A76" w:rsidR="00F81D2D" w:rsidP="008512D7" w:rsidRDefault="00F81D2D" w14:paraId="189D906B" w14:textId="77777777">
            <w:pPr>
              <w:autoSpaceDE w:val="0"/>
              <w:autoSpaceDN w:val="0"/>
              <w:adjustRightInd w:val="0"/>
              <w:jc w:val="both"/>
              <w:rPr>
                <w:szCs w:val="24"/>
              </w:rPr>
            </w:pPr>
            <w:r w:rsidRPr="007C7A76">
              <w:rPr>
                <w:szCs w:val="24"/>
              </w:rPr>
              <w:t>Transmission Revenue Manager</w:t>
            </w:r>
          </w:p>
          <w:p w:rsidRPr="007C7A76" w:rsidR="00F81D2D" w:rsidP="008512D7" w:rsidRDefault="00F81D2D" w14:paraId="6FBA16FC" w14:textId="77777777">
            <w:pPr>
              <w:autoSpaceDE w:val="0"/>
              <w:autoSpaceDN w:val="0"/>
              <w:adjustRightInd w:val="0"/>
              <w:jc w:val="both"/>
              <w:rPr>
                <w:szCs w:val="24"/>
              </w:rPr>
            </w:pPr>
            <w:r w:rsidRPr="007C7A76">
              <w:rPr>
                <w:szCs w:val="24"/>
              </w:rPr>
              <w:t>San Diego Gas &amp; Electric Company</w:t>
            </w:r>
          </w:p>
          <w:p w:rsidRPr="007C7A76" w:rsidR="00F81D2D" w:rsidP="008512D7" w:rsidRDefault="00F81D2D" w14:paraId="5110B1A4" w14:textId="77777777">
            <w:pPr>
              <w:autoSpaceDE w:val="0"/>
              <w:autoSpaceDN w:val="0"/>
              <w:adjustRightInd w:val="0"/>
              <w:jc w:val="both"/>
              <w:rPr>
                <w:szCs w:val="24"/>
              </w:rPr>
            </w:pPr>
            <w:r w:rsidRPr="007C7A76">
              <w:rPr>
                <w:szCs w:val="24"/>
              </w:rPr>
              <w:t>8330 Century Park Court, CP31E</w:t>
            </w:r>
          </w:p>
          <w:p w:rsidRPr="007C7A76" w:rsidR="00F81D2D" w:rsidP="008512D7" w:rsidRDefault="00F81D2D" w14:paraId="087BB03B" w14:textId="77777777">
            <w:pPr>
              <w:autoSpaceDE w:val="0"/>
              <w:autoSpaceDN w:val="0"/>
              <w:adjustRightInd w:val="0"/>
              <w:jc w:val="both"/>
              <w:rPr>
                <w:szCs w:val="24"/>
              </w:rPr>
            </w:pPr>
            <w:r w:rsidRPr="007C7A76">
              <w:rPr>
                <w:szCs w:val="24"/>
              </w:rPr>
              <w:t>San Diego, CA 92123</w:t>
            </w:r>
          </w:p>
          <w:p w:rsidRPr="007C7A76" w:rsidR="00F81D2D" w:rsidP="008512D7" w:rsidRDefault="00F81D2D" w14:paraId="0C247E22" w14:textId="77777777">
            <w:pPr>
              <w:autoSpaceDE w:val="0"/>
              <w:autoSpaceDN w:val="0"/>
              <w:adjustRightInd w:val="0"/>
              <w:jc w:val="both"/>
              <w:rPr>
                <w:szCs w:val="24"/>
              </w:rPr>
            </w:pPr>
            <w:r w:rsidRPr="007C7A76">
              <w:rPr>
                <w:szCs w:val="24"/>
              </w:rPr>
              <w:t>Telephone: (619) 696-2248</w:t>
            </w:r>
          </w:p>
          <w:p w:rsidR="00F81D2D" w:rsidP="008512D7" w:rsidRDefault="00F81D2D" w14:paraId="6F07A8C1" w14:textId="77777777">
            <w:pPr>
              <w:jc w:val="both"/>
              <w:rPr>
                <w:szCs w:val="24"/>
              </w:rPr>
            </w:pPr>
            <w:r w:rsidRPr="007C7A76">
              <w:rPr>
                <w:szCs w:val="24"/>
              </w:rPr>
              <w:t xml:space="preserve">E-mail: </w:t>
            </w:r>
            <w:r>
              <w:rPr>
                <w:szCs w:val="24"/>
              </w:rPr>
              <w:t>AC</w:t>
            </w:r>
            <w:r w:rsidRPr="007C7A76">
              <w:rPr>
                <w:szCs w:val="24"/>
              </w:rPr>
              <w:t>urrey@sdge.com</w:t>
            </w:r>
          </w:p>
          <w:p w:rsidRPr="007C7A76" w:rsidR="00F81D2D" w:rsidP="008512D7" w:rsidRDefault="00F81D2D" w14:paraId="13E1DC1E" w14:textId="77777777">
            <w:pPr>
              <w:jc w:val="both"/>
              <w:rPr>
                <w:szCs w:val="24"/>
              </w:rPr>
            </w:pPr>
          </w:p>
        </w:tc>
      </w:tr>
    </w:tbl>
    <w:p w:rsidR="00F81D2D" w:rsidP="00F81D2D" w:rsidRDefault="00F81D2D" w14:paraId="31D7B5A8" w14:textId="453CD983">
      <w:pPr>
        <w:pStyle w:val="Heading1"/>
        <w:numPr>
          <w:ilvl w:val="0"/>
          <w:numId w:val="5"/>
        </w:numPr>
        <w:tabs>
          <w:tab w:val="left" w:pos="720"/>
        </w:tabs>
        <w:spacing w:after="0"/>
        <w:jc w:val="both"/>
      </w:pPr>
      <w:r>
        <w:t>SERVICE</w:t>
      </w:r>
    </w:p>
    <w:p w:rsidR="00F81D2D" w:rsidP="00D50615" w:rsidRDefault="00F81D2D" w14:paraId="302637F1" w14:textId="77777777">
      <w:pPr>
        <w:ind w:left="720"/>
      </w:pPr>
    </w:p>
    <w:p w:rsidRPr="00394E22" w:rsidR="00394E22" w:rsidP="00D50615" w:rsidRDefault="00394E22" w14:paraId="3E5A2949" w14:textId="4C316C31">
      <w:pPr>
        <w:widowControl w:val="0"/>
        <w:autoSpaceDE w:val="0"/>
        <w:autoSpaceDN w:val="0"/>
        <w:spacing w:line="240" w:lineRule="auto"/>
        <w:ind w:right="260" w:firstLine="720"/>
        <w:rPr>
          <w:szCs w:val="22"/>
        </w:rPr>
      </w:pPr>
      <w:r w:rsidRPr="00394E22">
        <w:rPr>
          <w:szCs w:val="22"/>
        </w:rPr>
        <w:t>SDG&amp;E</w:t>
      </w:r>
      <w:r w:rsidRPr="00394E22">
        <w:rPr>
          <w:spacing w:val="-4"/>
          <w:szCs w:val="22"/>
        </w:rPr>
        <w:t xml:space="preserve"> </w:t>
      </w:r>
      <w:r w:rsidRPr="00394E22">
        <w:rPr>
          <w:szCs w:val="22"/>
        </w:rPr>
        <w:t>has</w:t>
      </w:r>
      <w:r w:rsidRPr="00394E22">
        <w:rPr>
          <w:spacing w:val="-4"/>
          <w:szCs w:val="22"/>
        </w:rPr>
        <w:t xml:space="preserve"> </w:t>
      </w:r>
      <w:r w:rsidRPr="00394E22">
        <w:rPr>
          <w:szCs w:val="22"/>
        </w:rPr>
        <w:t>served copies</w:t>
      </w:r>
      <w:r w:rsidRPr="00394E22">
        <w:rPr>
          <w:spacing w:val="-3"/>
          <w:szCs w:val="22"/>
        </w:rPr>
        <w:t xml:space="preserve"> </w:t>
      </w:r>
      <w:r w:rsidRPr="00394E22">
        <w:rPr>
          <w:szCs w:val="22"/>
        </w:rPr>
        <w:t>of</w:t>
      </w:r>
      <w:r w:rsidRPr="00394E22">
        <w:rPr>
          <w:spacing w:val="-2"/>
          <w:szCs w:val="22"/>
        </w:rPr>
        <w:t xml:space="preserve"> </w:t>
      </w:r>
      <w:r w:rsidRPr="00394E22">
        <w:rPr>
          <w:szCs w:val="22"/>
        </w:rPr>
        <w:t>this</w:t>
      </w:r>
      <w:r w:rsidRPr="00394E22">
        <w:rPr>
          <w:spacing w:val="-3"/>
          <w:szCs w:val="22"/>
        </w:rPr>
        <w:t xml:space="preserve"> </w:t>
      </w:r>
      <w:r w:rsidRPr="00394E22">
        <w:rPr>
          <w:szCs w:val="22"/>
        </w:rPr>
        <w:t>Filing</w:t>
      </w:r>
      <w:r w:rsidRPr="00394E22">
        <w:rPr>
          <w:spacing w:val="-2"/>
          <w:szCs w:val="22"/>
        </w:rPr>
        <w:t xml:space="preserve"> </w:t>
      </w:r>
      <w:r w:rsidRPr="00394E22">
        <w:rPr>
          <w:szCs w:val="22"/>
        </w:rPr>
        <w:t>on</w:t>
      </w:r>
      <w:r w:rsidRPr="00394E22">
        <w:rPr>
          <w:spacing w:val="-2"/>
          <w:szCs w:val="22"/>
        </w:rPr>
        <w:t xml:space="preserve"> </w:t>
      </w:r>
      <w:r w:rsidRPr="00394E22">
        <w:rPr>
          <w:szCs w:val="22"/>
        </w:rPr>
        <w:t>parties</w:t>
      </w:r>
      <w:r w:rsidRPr="00394E22">
        <w:rPr>
          <w:spacing w:val="-3"/>
          <w:szCs w:val="22"/>
        </w:rPr>
        <w:t xml:space="preserve"> </w:t>
      </w:r>
      <w:r w:rsidRPr="00394E22">
        <w:rPr>
          <w:szCs w:val="22"/>
        </w:rPr>
        <w:t>on</w:t>
      </w:r>
      <w:r w:rsidRPr="00394E22">
        <w:rPr>
          <w:spacing w:val="-2"/>
          <w:szCs w:val="22"/>
        </w:rPr>
        <w:t xml:space="preserve"> </w:t>
      </w:r>
      <w:r w:rsidRPr="00394E22">
        <w:rPr>
          <w:szCs w:val="22"/>
        </w:rPr>
        <w:t>the</w:t>
      </w:r>
      <w:r w:rsidRPr="00394E22">
        <w:rPr>
          <w:spacing w:val="-2"/>
          <w:szCs w:val="22"/>
        </w:rPr>
        <w:t xml:space="preserve"> </w:t>
      </w:r>
      <w:r w:rsidRPr="00394E22">
        <w:rPr>
          <w:szCs w:val="22"/>
        </w:rPr>
        <w:t>official</w:t>
      </w:r>
      <w:r w:rsidRPr="00394E22">
        <w:rPr>
          <w:spacing w:val="-2"/>
          <w:szCs w:val="22"/>
        </w:rPr>
        <w:t xml:space="preserve"> </w:t>
      </w:r>
      <w:r w:rsidRPr="00394E22">
        <w:rPr>
          <w:szCs w:val="22"/>
        </w:rPr>
        <w:t>service</w:t>
      </w:r>
      <w:r w:rsidRPr="00394E22">
        <w:rPr>
          <w:spacing w:val="-3"/>
          <w:szCs w:val="22"/>
        </w:rPr>
        <w:t xml:space="preserve"> </w:t>
      </w:r>
      <w:r w:rsidRPr="00394E22">
        <w:rPr>
          <w:szCs w:val="22"/>
        </w:rPr>
        <w:t>list</w:t>
      </w:r>
      <w:r w:rsidRPr="00394E22">
        <w:rPr>
          <w:spacing w:val="-3"/>
          <w:szCs w:val="22"/>
        </w:rPr>
        <w:t xml:space="preserve"> </w:t>
      </w:r>
      <w:r w:rsidRPr="00394E22">
        <w:rPr>
          <w:szCs w:val="22"/>
        </w:rPr>
        <w:t>in</w:t>
      </w:r>
      <w:r w:rsidRPr="00394E22">
        <w:rPr>
          <w:spacing w:val="-3"/>
          <w:szCs w:val="22"/>
        </w:rPr>
        <w:t xml:space="preserve"> </w:t>
      </w:r>
      <w:r w:rsidRPr="00394E22">
        <w:rPr>
          <w:szCs w:val="22"/>
        </w:rPr>
        <w:t>Docket</w:t>
      </w:r>
      <w:r w:rsidRPr="00394E22">
        <w:rPr>
          <w:spacing w:val="-3"/>
          <w:szCs w:val="22"/>
        </w:rPr>
        <w:t xml:space="preserve"> </w:t>
      </w:r>
      <w:r w:rsidRPr="00394E22">
        <w:rPr>
          <w:szCs w:val="22"/>
        </w:rPr>
        <w:t>No.</w:t>
      </w:r>
      <w:r w:rsidRPr="00394E22">
        <w:rPr>
          <w:spacing w:val="-3"/>
          <w:szCs w:val="22"/>
        </w:rPr>
        <w:t xml:space="preserve"> </w:t>
      </w:r>
      <w:r w:rsidRPr="00394E22">
        <w:rPr>
          <w:szCs w:val="22"/>
        </w:rPr>
        <w:t>ER</w:t>
      </w:r>
      <w:r>
        <w:rPr>
          <w:szCs w:val="22"/>
        </w:rPr>
        <w:t>25-270</w:t>
      </w:r>
      <w:r w:rsidRPr="00394E22">
        <w:rPr>
          <w:szCs w:val="22"/>
        </w:rPr>
        <w:t>,</w:t>
      </w:r>
      <w:r w:rsidRPr="00394E22">
        <w:rPr>
          <w:spacing w:val="-3"/>
          <w:szCs w:val="22"/>
        </w:rPr>
        <w:t xml:space="preserve"> </w:t>
      </w:r>
      <w:r w:rsidRPr="00394E22">
        <w:rPr>
          <w:szCs w:val="22"/>
        </w:rPr>
        <w:t>the</w:t>
      </w:r>
      <w:r w:rsidRPr="00394E22">
        <w:rPr>
          <w:spacing w:val="-3"/>
          <w:szCs w:val="22"/>
        </w:rPr>
        <w:t xml:space="preserve"> </w:t>
      </w:r>
      <w:r w:rsidRPr="00394E22">
        <w:rPr>
          <w:szCs w:val="22"/>
        </w:rPr>
        <w:t>CPUC</w:t>
      </w:r>
      <w:r w:rsidR="00D50615">
        <w:rPr>
          <w:szCs w:val="22"/>
        </w:rPr>
        <w:t>,</w:t>
      </w:r>
      <w:r w:rsidRPr="00394E22">
        <w:rPr>
          <w:szCs w:val="22"/>
        </w:rPr>
        <w:t xml:space="preserve"> and the California Independent System Operator.</w:t>
      </w:r>
    </w:p>
    <w:p w:rsidRPr="00F81D2D" w:rsidR="00F804BD" w:rsidP="00F81D2D" w:rsidRDefault="00F804BD" w14:paraId="1E6AF6C3" w14:textId="77777777">
      <w:pPr>
        <w:ind w:left="720"/>
      </w:pPr>
    </w:p>
    <w:p w:rsidR="00F43E69" w:rsidRDefault="00F43E69" w14:paraId="554221E7" w14:textId="77777777">
      <w:pPr>
        <w:spacing w:line="240" w:lineRule="auto"/>
        <w:rPr>
          <w:b/>
          <w:szCs w:val="24"/>
        </w:rPr>
      </w:pPr>
      <w:r>
        <w:br w:type="page"/>
      </w:r>
    </w:p>
    <w:p w:rsidR="006E060D" w:rsidP="007F3E2F" w:rsidRDefault="007D7B88" w14:paraId="582967D9" w14:textId="5BE0AC62">
      <w:pPr>
        <w:pStyle w:val="Heading1"/>
        <w:numPr>
          <w:ilvl w:val="0"/>
          <w:numId w:val="5"/>
        </w:numPr>
        <w:tabs>
          <w:tab w:val="left" w:pos="720"/>
        </w:tabs>
        <w:spacing w:after="0"/>
        <w:jc w:val="both"/>
      </w:pPr>
      <w:r w:rsidRPr="00895D65">
        <w:t>CONCLUSION</w:t>
      </w:r>
    </w:p>
    <w:p w:rsidRPr="007F3E2F" w:rsidR="007F3E2F" w:rsidP="007F3E2F" w:rsidRDefault="007F3E2F" w14:paraId="535F2E30" w14:textId="77777777"/>
    <w:p w:rsidRPr="00394E22" w:rsidR="00394E22" w:rsidP="007F3E2F" w:rsidRDefault="00DD4CEF" w14:paraId="1CA0255D" w14:textId="68A22A38">
      <w:pPr>
        <w:widowControl w:val="0"/>
        <w:autoSpaceDE w:val="0"/>
        <w:autoSpaceDN w:val="0"/>
        <w:ind w:firstLine="720"/>
        <w:rPr>
          <w:szCs w:val="22"/>
        </w:rPr>
      </w:pPr>
      <w:r>
        <w:t xml:space="preserve">SDG&amp;E respectfully requests that the </w:t>
      </w:r>
      <w:r w:rsidRPr="00394E22" w:rsidR="00394E22">
        <w:t>Commission accept its proposed modifications to Appendix VII and Appendix IX of SDG&amp;E’s TO Electric Tariff</w:t>
      </w:r>
      <w:r w:rsidRPr="00FF3AF4" w:rsidR="00394E22">
        <w:rPr>
          <w:szCs w:val="22"/>
        </w:rPr>
        <w:t xml:space="preserve"> by November 30, 2026</w:t>
      </w:r>
      <w:r w:rsidR="007F3E2F">
        <w:rPr>
          <w:szCs w:val="22"/>
        </w:rPr>
        <w:t>,</w:t>
      </w:r>
      <w:r w:rsidRPr="00FF3AF4" w:rsidR="00394E22">
        <w:rPr>
          <w:szCs w:val="22"/>
        </w:rPr>
        <w:t xml:space="preserve"> </w:t>
      </w:r>
      <w:r w:rsidR="00394E22">
        <w:rPr>
          <w:szCs w:val="22"/>
        </w:rPr>
        <w:t xml:space="preserve">for an effective date of </w:t>
      </w:r>
      <w:r w:rsidRPr="00FF3AF4" w:rsidR="00394E22">
        <w:rPr>
          <w:szCs w:val="22"/>
        </w:rPr>
        <w:t>January 1, 2027</w:t>
      </w:r>
      <w:r w:rsidRPr="00394E22" w:rsidR="00394E22">
        <w:t>.</w:t>
      </w:r>
    </w:p>
    <w:p w:rsidRPr="00895D65" w:rsidR="006E060D" w:rsidP="00F43E69" w:rsidRDefault="006E060D" w14:paraId="3DD6BEB8" w14:textId="39757609">
      <w:pPr>
        <w:pStyle w:val="BodyText"/>
        <w:spacing w:before="120"/>
        <w:ind w:left="5221"/>
      </w:pPr>
      <w:r w:rsidRPr="00895D65">
        <w:t xml:space="preserve">Respectfully </w:t>
      </w:r>
      <w:r w:rsidR="00114A75">
        <w:t>s</w:t>
      </w:r>
      <w:r w:rsidRPr="00895D65">
        <w:t>ubmitted,</w:t>
      </w:r>
    </w:p>
    <w:p w:rsidRPr="00895D65" w:rsidR="006E060D" w:rsidP="00F43E69" w:rsidRDefault="006E060D" w14:paraId="6F5D6FB4" w14:textId="4CE80A03">
      <w:pPr>
        <w:pStyle w:val="BodyText"/>
        <w:spacing w:after="0"/>
        <w:ind w:right="357" w:firstLine="719"/>
        <w:jc w:val="both"/>
      </w:pPr>
    </w:p>
    <w:p w:rsidR="00CA757A" w:rsidP="00CA757A" w:rsidRDefault="00BB1437" w14:paraId="0CFBCCA8" w14:textId="6D1792E3">
      <w:pPr>
        <w:pStyle w:val="BodyText"/>
        <w:spacing w:after="0" w:line="240" w:lineRule="auto"/>
        <w:ind w:left="4501" w:right="356" w:firstLine="720"/>
        <w:jc w:val="both"/>
      </w:pPr>
      <w:r w:rsidRPr="00BB1437">
        <w:rPr>
          <w:u w:val="single"/>
        </w:rPr>
        <w:t xml:space="preserve">/s/ Ross R. </w:t>
      </w:r>
      <w:proofErr w:type="gramStart"/>
      <w:r w:rsidRPr="00BB1437">
        <w:rPr>
          <w:u w:val="single"/>
        </w:rPr>
        <w:t>Fulton</w:t>
      </w:r>
      <w:r>
        <w:t xml:space="preserve"> </w:t>
      </w:r>
      <w:r w:rsidR="00CA757A">
        <w:t>__</w:t>
      </w:r>
      <w:proofErr w:type="gramEnd"/>
      <w:r w:rsidR="00CA757A">
        <w:t>___</w:t>
      </w:r>
    </w:p>
    <w:p w:rsidR="00CA757A" w:rsidP="00CA757A" w:rsidRDefault="00CA757A" w14:paraId="48BA6525" w14:textId="084BFAE1">
      <w:pPr>
        <w:pStyle w:val="BodyText"/>
        <w:spacing w:after="0" w:line="240" w:lineRule="auto"/>
        <w:ind w:left="4501" w:right="356" w:firstLine="720"/>
        <w:jc w:val="both"/>
      </w:pPr>
      <w:r>
        <w:t>Ross R. Fulton</w:t>
      </w:r>
    </w:p>
    <w:p w:rsidR="00CA757A" w:rsidP="00CA757A" w:rsidRDefault="00CA757A" w14:paraId="3D5B3D94" w14:textId="77777777">
      <w:pPr>
        <w:pStyle w:val="BodyText"/>
        <w:spacing w:after="0" w:line="240" w:lineRule="auto"/>
        <w:ind w:left="4501" w:right="356" w:firstLine="720"/>
        <w:jc w:val="both"/>
      </w:pPr>
      <w:r>
        <w:t>San Diego Gas &amp; Electric Company</w:t>
      </w:r>
    </w:p>
    <w:p w:rsidR="00CA757A" w:rsidP="00CA757A" w:rsidRDefault="00CA757A" w14:paraId="70563493" w14:textId="77777777">
      <w:pPr>
        <w:pStyle w:val="BodyText"/>
        <w:spacing w:after="0" w:line="240" w:lineRule="auto"/>
        <w:ind w:left="4501" w:right="356" w:firstLine="720"/>
        <w:jc w:val="both"/>
      </w:pPr>
      <w:r>
        <w:t>8330 Century Park Court, CP32D</w:t>
      </w:r>
    </w:p>
    <w:p w:rsidR="00CA757A" w:rsidP="00CA757A" w:rsidRDefault="00CA757A" w14:paraId="362BD521" w14:textId="77777777">
      <w:pPr>
        <w:pStyle w:val="BodyText"/>
        <w:spacing w:after="0" w:line="240" w:lineRule="auto"/>
        <w:ind w:left="4501" w:right="356" w:firstLine="720"/>
        <w:jc w:val="both"/>
      </w:pPr>
      <w:r>
        <w:t>San Diego, CA 92123</w:t>
      </w:r>
    </w:p>
    <w:p w:rsidR="006E060D" w:rsidP="00F43E69" w:rsidRDefault="006E060D" w14:paraId="5B8AA00C" w14:textId="0F665AFF">
      <w:pPr>
        <w:pStyle w:val="BodyText"/>
        <w:spacing w:after="0" w:line="240" w:lineRule="auto"/>
        <w:ind w:right="353"/>
        <w:jc w:val="both"/>
      </w:pPr>
    </w:p>
    <w:p w:rsidRPr="00CA757A" w:rsidR="00CA757A" w:rsidP="00F43E69" w:rsidRDefault="00CA757A" w14:paraId="18AEC4B2" w14:textId="605FBF9B">
      <w:pPr>
        <w:pStyle w:val="BodyText"/>
        <w:spacing w:after="0" w:line="240" w:lineRule="auto"/>
        <w:ind w:left="5220" w:right="353"/>
        <w:rPr>
          <w:i/>
          <w:iCs/>
        </w:rPr>
      </w:pPr>
      <w:r w:rsidRPr="00CA757A">
        <w:rPr>
          <w:i/>
          <w:iCs/>
        </w:rPr>
        <w:t>Attorney for San Diego Gas &amp; Electric Company</w:t>
      </w:r>
    </w:p>
    <w:p w:rsidRPr="00895D65" w:rsidR="00BE1FC7" w:rsidP="00895D65" w:rsidRDefault="00E57F1D" w14:paraId="27D3E507" w14:textId="223C44E8">
      <w:pPr>
        <w:pStyle w:val="VisibleText"/>
        <w:rPr>
          <w:rFonts w:ascii="Arial" w:hAnsi="Arial" w:cs="Arial"/>
          <w:vanish/>
        </w:rPr>
      </w:pPr>
      <w:r>
        <w:fldChar w:fldCharType="begin"/>
      </w:r>
      <w:r>
        <w:instrText xml:space="preserve"> DATE \@ "MMMM d, yyyy" </w:instrText>
      </w:r>
      <w:r>
        <w:fldChar w:fldCharType="separate"/>
      </w:r>
      <w:r w:rsidR="00FF3DAF">
        <w:rPr>
          <w:noProof/>
        </w:rPr>
        <w:t>September 28, 2026</w:t>
      </w:r>
      <w:r>
        <w:fldChar w:fldCharType="end"/>
      </w:r>
    </w:p>
    <w:sectPr w:rsidRPr="00895D65" w:rsidR="00BE1FC7" w:rsidSect="0049557F">
      <w:headerReference w:type="default" r:id="rId17"/>
      <w:footerReference w:type="default" r:id="rId18"/>
      <w:headerReference w:type="first" r:id="rId19"/>
      <w:type w:val="continuous"/>
      <w:pgSz w:w="12240" w:h="15840" w:orient="portrait" w:code="1"/>
      <w:pgMar w:top="648" w:right="1440" w:bottom="1440" w:left="1440" w:header="72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0598" w:rsidRDefault="00DE0598" w14:paraId="304A50E0" w14:textId="77777777">
      <w:pPr>
        <w:spacing w:line="240" w:lineRule="auto"/>
      </w:pPr>
      <w:r>
        <w:separator/>
      </w:r>
    </w:p>
  </w:endnote>
  <w:endnote w:type="continuationSeparator" w:id="0">
    <w:p w:rsidR="00DE0598" w:rsidRDefault="00DE0598" w14:paraId="55B8849A" w14:textId="77777777">
      <w:pPr>
        <w:spacing w:line="240" w:lineRule="auto"/>
      </w:pPr>
      <w:r>
        <w:continuationSeparator/>
      </w:r>
    </w:p>
  </w:endnote>
  <w:endnote w:type="continuationNotice" w:id="1">
    <w:p w:rsidR="00DE0598" w:rsidRDefault="00DE0598" w14:paraId="4F523259"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Light">
    <w:altName w:val="Times New Roman"/>
    <w:charset w:val="00"/>
    <w:family w:val="auto"/>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1FC7" w:rsidP="317C6201" w:rsidRDefault="00BE1FC7" w14:paraId="390A39F0" w14:textId="77777777">
    <w:pPr>
      <w:pStyle w:val="Footer"/>
      <w:jc w:val="both"/>
      <w:rPr>
        <w:rFonts w:ascii="Interstate-Light" w:hAnsi="Interstate-Light"/>
        <w:spacing w:val="-2"/>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1FC7" w:rsidRDefault="00BE1FC7" w14:paraId="14C514F2" w14:textId="77777777">
    <w:pPr>
      <w:pStyle w:val="Footer"/>
      <w:rPr>
        <w:rFonts w:ascii="Interstate-Light" w:hAnsi="Interstate-Light"/>
        <w:spacing w:val="-2"/>
        <w:sz w:val="18"/>
      </w:rPr>
    </w:pPr>
  </w:p>
  <w:p w:rsidR="00BE1FC7" w:rsidRDefault="00BE1FC7" w14:paraId="67C14D5F" w14:textId="77777777">
    <w:pPr>
      <w:pStyle w:val="Footer"/>
      <w:rPr>
        <w:rFonts w:ascii="Interstate-Light" w:hAnsi="Interstate-Light"/>
        <w:spacing w:val="-2"/>
        <w:sz w:val="18"/>
      </w:rPr>
    </w:pPr>
  </w:p>
  <w:p w:rsidR="00BE1FC7" w:rsidRDefault="00BE1FC7" w14:paraId="7DC21DF5" w14:textId="77777777">
    <w:pPr>
      <w:pStyle w:val="Footer"/>
      <w:rPr>
        <w:rFonts w:ascii="Interstate-Light" w:hAnsi="Interstate-Light"/>
        <w:spacing w:val="-2"/>
        <w:sz w:val="18"/>
      </w:rPr>
    </w:pPr>
  </w:p>
  <w:p w:rsidR="00BE1FC7" w:rsidRDefault="00BE1FC7" w14:paraId="1B044827" w14:textId="77777777">
    <w:pPr>
      <w:pStyle w:val="Footer"/>
      <w:rPr>
        <w:rFonts w:ascii="Interstate-Light" w:hAnsi="Interstate-Light"/>
        <w:spacing w:val="-2"/>
        <w:sz w:val="18"/>
      </w:rPr>
    </w:pPr>
  </w:p>
  <w:p w:rsidR="00BE1FC7" w:rsidRDefault="00BE1FC7" w14:paraId="0E50B54C" w14:textId="77777777">
    <w:pPr>
      <w:pStyle w:val="Footer"/>
      <w:rPr>
        <w:rFonts w:ascii="Interstate-Light" w:hAnsi="Interstate-Light"/>
        <w:spacing w:val="-2"/>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1FC7" w:rsidRDefault="00BE1FC7" w14:paraId="1970DD8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0598" w:rsidRDefault="00DE0598" w14:paraId="41414378" w14:textId="77777777">
      <w:pPr>
        <w:spacing w:line="240" w:lineRule="auto"/>
      </w:pPr>
      <w:r>
        <w:separator/>
      </w:r>
    </w:p>
  </w:footnote>
  <w:footnote w:type="continuationSeparator" w:id="0">
    <w:p w:rsidR="00DE0598" w:rsidRDefault="00DE0598" w14:paraId="72699B8F" w14:textId="77777777">
      <w:pPr>
        <w:spacing w:line="240" w:lineRule="auto"/>
      </w:pPr>
      <w:r>
        <w:continuationSeparator/>
      </w:r>
    </w:p>
  </w:footnote>
  <w:footnote w:type="continuationNotice" w:id="1">
    <w:p w:rsidR="00DE0598" w:rsidRDefault="00DE0598" w14:paraId="045951E2" w14:textId="77777777">
      <w:pPr>
        <w:spacing w:line="240" w:lineRule="auto"/>
      </w:pPr>
    </w:p>
  </w:footnote>
  <w:footnote w:id="2">
    <w:p w:rsidRPr="0046648B" w:rsidR="00C907DC" w:rsidP="008D0FE0" w:rsidRDefault="00C907DC" w14:paraId="186041CA" w14:textId="6E5FA699">
      <w:pPr>
        <w:pStyle w:val="FootnoteText"/>
      </w:pPr>
      <w:r w:rsidRPr="0046648B">
        <w:rPr>
          <w:rStyle w:val="FootnoteReference"/>
          <w:color w:val="auto"/>
        </w:rPr>
        <w:footnoteRef/>
      </w:r>
      <w:r w:rsidRPr="0046648B">
        <w:t xml:space="preserve"> </w:t>
      </w:r>
      <w:r w:rsidR="00F43E69">
        <w:tab/>
      </w:r>
      <w:r w:rsidRPr="0046648B">
        <w:rPr>
          <w:spacing w:val="0"/>
          <w:szCs w:val="22"/>
        </w:rPr>
        <w:t>18</w:t>
      </w:r>
      <w:r w:rsidRPr="0046648B">
        <w:rPr>
          <w:spacing w:val="-5"/>
          <w:szCs w:val="22"/>
        </w:rPr>
        <w:t xml:space="preserve"> </w:t>
      </w:r>
      <w:r w:rsidRPr="0046648B">
        <w:rPr>
          <w:spacing w:val="0"/>
          <w:szCs w:val="22"/>
        </w:rPr>
        <w:t>C.F.R.</w:t>
      </w:r>
      <w:r w:rsidRPr="0046648B">
        <w:rPr>
          <w:spacing w:val="-4"/>
          <w:szCs w:val="22"/>
        </w:rPr>
        <w:t xml:space="preserve"> </w:t>
      </w:r>
      <w:r w:rsidRPr="0046648B">
        <w:rPr>
          <w:spacing w:val="0"/>
          <w:szCs w:val="22"/>
        </w:rPr>
        <w:t>§§</w:t>
      </w:r>
      <w:r w:rsidRPr="0046648B">
        <w:rPr>
          <w:spacing w:val="-5"/>
          <w:szCs w:val="22"/>
        </w:rPr>
        <w:t xml:space="preserve"> </w:t>
      </w:r>
      <w:r w:rsidRPr="0046648B">
        <w:rPr>
          <w:spacing w:val="0"/>
          <w:szCs w:val="22"/>
        </w:rPr>
        <w:t>35.13</w:t>
      </w:r>
      <w:r w:rsidRPr="0046648B">
        <w:rPr>
          <w:spacing w:val="-4"/>
          <w:szCs w:val="22"/>
        </w:rPr>
        <w:t xml:space="preserve"> </w:t>
      </w:r>
      <w:r w:rsidRPr="0046648B">
        <w:rPr>
          <w:spacing w:val="0"/>
          <w:szCs w:val="22"/>
        </w:rPr>
        <w:t>and</w:t>
      </w:r>
      <w:r w:rsidRPr="0046648B">
        <w:rPr>
          <w:spacing w:val="-4"/>
          <w:szCs w:val="22"/>
        </w:rPr>
        <w:t xml:space="preserve"> </w:t>
      </w:r>
      <w:r w:rsidRPr="0046648B">
        <w:rPr>
          <w:szCs w:val="22"/>
        </w:rPr>
        <w:t>385.205.</w:t>
      </w:r>
    </w:p>
  </w:footnote>
  <w:footnote w:id="3">
    <w:p w:rsidRPr="0046648B" w:rsidR="00C907DC" w:rsidP="008D0FE0" w:rsidRDefault="00C907DC" w14:paraId="77F978C7" w14:textId="697B9596">
      <w:pPr>
        <w:pStyle w:val="FootnoteText"/>
      </w:pPr>
      <w:r w:rsidRPr="0046648B">
        <w:rPr>
          <w:rStyle w:val="FootnoteReference"/>
          <w:color w:val="auto"/>
        </w:rPr>
        <w:footnoteRef/>
      </w:r>
      <w:r w:rsidRPr="0046648B">
        <w:t xml:space="preserve"> </w:t>
      </w:r>
      <w:r w:rsidRPr="0046648B">
        <w:tab/>
      </w:r>
      <w:r w:rsidRPr="0046648B">
        <w:t>Appendix IX of SDG&amp;E’s TO Tariff is entitled “Determination of SDG&amp;E’s End Use Customer Class</w:t>
      </w:r>
      <w:r w:rsidRPr="0046648B">
        <w:rPr>
          <w:spacing w:val="-4"/>
        </w:rPr>
        <w:t xml:space="preserve"> </w:t>
      </w:r>
      <w:r w:rsidRPr="0046648B">
        <w:t>Transmission</w:t>
      </w:r>
      <w:r w:rsidRPr="0046648B">
        <w:rPr>
          <w:spacing w:val="-4"/>
        </w:rPr>
        <w:t xml:space="preserve"> </w:t>
      </w:r>
      <w:r w:rsidRPr="0046648B">
        <w:t>Charges,</w:t>
      </w:r>
      <w:r w:rsidRPr="0046648B">
        <w:rPr>
          <w:spacing w:val="-4"/>
        </w:rPr>
        <w:t xml:space="preserve"> </w:t>
      </w:r>
      <w:r w:rsidRPr="0046648B">
        <w:t>Low</w:t>
      </w:r>
      <w:r w:rsidRPr="0046648B">
        <w:rPr>
          <w:spacing w:val="-4"/>
        </w:rPr>
        <w:t xml:space="preserve"> </w:t>
      </w:r>
      <w:r w:rsidRPr="0046648B">
        <w:t>Voltage</w:t>
      </w:r>
      <w:r w:rsidRPr="0046648B">
        <w:rPr>
          <w:spacing w:val="-4"/>
        </w:rPr>
        <w:t xml:space="preserve"> </w:t>
      </w:r>
      <w:r w:rsidRPr="0046648B">
        <w:t>Access</w:t>
      </w:r>
      <w:r w:rsidRPr="0046648B">
        <w:rPr>
          <w:spacing w:val="-4"/>
        </w:rPr>
        <w:t xml:space="preserve"> </w:t>
      </w:r>
      <w:r w:rsidRPr="0046648B">
        <w:t>Charge,</w:t>
      </w:r>
      <w:r w:rsidRPr="0046648B">
        <w:rPr>
          <w:spacing w:val="-4"/>
        </w:rPr>
        <w:t xml:space="preserve"> </w:t>
      </w:r>
      <w:r w:rsidRPr="0046648B">
        <w:t>and</w:t>
      </w:r>
      <w:r w:rsidRPr="0046648B">
        <w:rPr>
          <w:spacing w:val="-4"/>
        </w:rPr>
        <w:t xml:space="preserve"> </w:t>
      </w:r>
      <w:r w:rsidRPr="0046648B">
        <w:t>High</w:t>
      </w:r>
      <w:r w:rsidRPr="0046648B">
        <w:rPr>
          <w:spacing w:val="-4"/>
        </w:rPr>
        <w:t xml:space="preserve"> </w:t>
      </w:r>
      <w:r w:rsidRPr="0046648B">
        <w:t>Voltage</w:t>
      </w:r>
      <w:r w:rsidRPr="0046648B">
        <w:rPr>
          <w:spacing w:val="-4"/>
        </w:rPr>
        <w:t xml:space="preserve"> </w:t>
      </w:r>
      <w:r w:rsidRPr="0046648B">
        <w:t>Utility-Specific</w:t>
      </w:r>
      <w:r w:rsidRPr="0046648B">
        <w:rPr>
          <w:spacing w:val="-4"/>
        </w:rPr>
        <w:t xml:space="preserve"> </w:t>
      </w:r>
      <w:r w:rsidRPr="0046648B">
        <w:t>Rate, and Allocation of BTRR Applicable to High Voltage and Low Voltage Transmission Facilities.”</w:t>
      </w:r>
    </w:p>
  </w:footnote>
  <w:footnote w:id="4">
    <w:p w:rsidRPr="0046648B" w:rsidR="008D0FE0" w:rsidP="00F43E69" w:rsidRDefault="008D0FE0" w14:paraId="6DA7A2DD" w14:textId="08295179">
      <w:pPr>
        <w:pStyle w:val="FootnoteText"/>
        <w:rPr>
          <w:szCs w:val="22"/>
        </w:rPr>
      </w:pPr>
      <w:r w:rsidRPr="0046648B">
        <w:rPr>
          <w:rStyle w:val="FootnoteReference"/>
          <w:color w:val="auto"/>
        </w:rPr>
        <w:footnoteRef/>
      </w:r>
      <w:r w:rsidRPr="0046648B">
        <w:t xml:space="preserve"> </w:t>
      </w:r>
      <w:r w:rsidR="00F43E69">
        <w:tab/>
      </w:r>
      <w:r w:rsidRPr="0046648B">
        <w:rPr>
          <w:szCs w:val="22"/>
        </w:rPr>
        <w:t>Appendix</w:t>
      </w:r>
      <w:r w:rsidRPr="0046648B">
        <w:rPr>
          <w:spacing w:val="-7"/>
          <w:szCs w:val="22"/>
        </w:rPr>
        <w:t xml:space="preserve"> </w:t>
      </w:r>
      <w:r w:rsidRPr="0046648B">
        <w:rPr>
          <w:szCs w:val="22"/>
        </w:rPr>
        <w:t>VII</w:t>
      </w:r>
      <w:r w:rsidRPr="0046648B">
        <w:rPr>
          <w:spacing w:val="-7"/>
          <w:szCs w:val="22"/>
        </w:rPr>
        <w:t xml:space="preserve"> </w:t>
      </w:r>
      <w:r w:rsidRPr="0046648B">
        <w:rPr>
          <w:szCs w:val="22"/>
        </w:rPr>
        <w:t>of</w:t>
      </w:r>
      <w:r w:rsidRPr="0046648B">
        <w:rPr>
          <w:spacing w:val="-6"/>
          <w:szCs w:val="22"/>
        </w:rPr>
        <w:t xml:space="preserve"> </w:t>
      </w:r>
      <w:r w:rsidRPr="0046648B">
        <w:rPr>
          <w:szCs w:val="22"/>
        </w:rPr>
        <w:t>SDG&amp;E’s</w:t>
      </w:r>
      <w:r w:rsidRPr="0046648B">
        <w:rPr>
          <w:spacing w:val="-7"/>
          <w:szCs w:val="22"/>
        </w:rPr>
        <w:t xml:space="preserve"> </w:t>
      </w:r>
      <w:r w:rsidRPr="0046648B">
        <w:rPr>
          <w:szCs w:val="22"/>
        </w:rPr>
        <w:t>TO</w:t>
      </w:r>
      <w:r w:rsidRPr="0046648B">
        <w:rPr>
          <w:spacing w:val="-6"/>
          <w:szCs w:val="22"/>
        </w:rPr>
        <w:t xml:space="preserve"> </w:t>
      </w:r>
      <w:r w:rsidRPr="0046648B">
        <w:rPr>
          <w:szCs w:val="22"/>
        </w:rPr>
        <w:t>Tariff</w:t>
      </w:r>
      <w:r w:rsidRPr="0046648B">
        <w:rPr>
          <w:spacing w:val="-6"/>
          <w:szCs w:val="22"/>
        </w:rPr>
        <w:t xml:space="preserve"> </w:t>
      </w:r>
      <w:r w:rsidRPr="0046648B">
        <w:rPr>
          <w:szCs w:val="22"/>
        </w:rPr>
        <w:t>is</w:t>
      </w:r>
      <w:r w:rsidRPr="0046648B">
        <w:rPr>
          <w:spacing w:val="-7"/>
          <w:szCs w:val="22"/>
        </w:rPr>
        <w:t xml:space="preserve"> </w:t>
      </w:r>
      <w:r w:rsidRPr="0046648B">
        <w:rPr>
          <w:szCs w:val="22"/>
        </w:rPr>
        <w:t>entitled</w:t>
      </w:r>
      <w:r w:rsidRPr="0046648B">
        <w:rPr>
          <w:spacing w:val="-6"/>
          <w:szCs w:val="22"/>
        </w:rPr>
        <w:t xml:space="preserve"> </w:t>
      </w:r>
      <w:r w:rsidRPr="0046648B">
        <w:rPr>
          <w:szCs w:val="22"/>
        </w:rPr>
        <w:t>“Reliability</w:t>
      </w:r>
      <w:r w:rsidRPr="0046648B">
        <w:rPr>
          <w:spacing w:val="-4"/>
          <w:szCs w:val="22"/>
        </w:rPr>
        <w:t xml:space="preserve"> </w:t>
      </w:r>
      <w:r w:rsidRPr="0046648B">
        <w:rPr>
          <w:szCs w:val="22"/>
        </w:rPr>
        <w:t>Must-Run</w:t>
      </w:r>
      <w:r w:rsidRPr="0046648B">
        <w:rPr>
          <w:spacing w:val="-7"/>
          <w:szCs w:val="22"/>
        </w:rPr>
        <w:t xml:space="preserve"> </w:t>
      </w:r>
      <w:r w:rsidRPr="0046648B">
        <w:rPr>
          <w:szCs w:val="22"/>
        </w:rPr>
        <w:t>Charges</w:t>
      </w:r>
      <w:r w:rsidRPr="0046648B">
        <w:rPr>
          <w:spacing w:val="-6"/>
          <w:szCs w:val="22"/>
        </w:rPr>
        <w:t xml:space="preserve"> </w:t>
      </w:r>
      <w:r w:rsidRPr="0046648B">
        <w:rPr>
          <w:szCs w:val="22"/>
        </w:rPr>
        <w:t>for</w:t>
      </w:r>
      <w:r w:rsidRPr="0046648B">
        <w:rPr>
          <w:spacing w:val="-6"/>
          <w:szCs w:val="22"/>
        </w:rPr>
        <w:t xml:space="preserve"> </w:t>
      </w:r>
      <w:r w:rsidRPr="0046648B">
        <w:rPr>
          <w:szCs w:val="22"/>
        </w:rPr>
        <w:t>End-Users.”</w:t>
      </w:r>
    </w:p>
  </w:footnote>
  <w:footnote w:id="5">
    <w:p w:rsidRPr="0046648B" w:rsidR="008D0FE0" w:rsidP="008D0FE0" w:rsidRDefault="008D0FE0" w14:paraId="4D91A184" w14:textId="19D0FCDF">
      <w:pPr>
        <w:pStyle w:val="FootnoteText"/>
      </w:pPr>
      <w:r w:rsidRPr="0046648B">
        <w:rPr>
          <w:rStyle w:val="FootnoteReference"/>
          <w:color w:val="auto"/>
        </w:rPr>
        <w:footnoteRef/>
      </w:r>
      <w:r w:rsidRPr="0046648B">
        <w:t xml:space="preserve"> </w:t>
      </w:r>
      <w:r w:rsidR="00F43E69">
        <w:tab/>
      </w:r>
      <w:r w:rsidRPr="0046648B" w:rsidR="00B77208">
        <w:t>D.</w:t>
      </w:r>
      <w:r w:rsidR="002D608D">
        <w:t>25-09-006</w:t>
      </w:r>
      <w:r w:rsidRPr="0046648B" w:rsidR="00B77208">
        <w:t xml:space="preserve"> at </w:t>
      </w:r>
      <w:r w:rsidR="00465003">
        <w:t>39</w:t>
      </w:r>
      <w:r w:rsidRPr="0046648B" w:rsidR="00B77208">
        <w:t>.</w:t>
      </w:r>
    </w:p>
  </w:footnote>
  <w:footnote w:id="6">
    <w:p w:rsidRPr="00123040" w:rsidR="00D50615" w:rsidP="00D50615" w:rsidRDefault="00D50615" w14:paraId="20F7860A" w14:textId="30F77133">
      <w:pPr>
        <w:pStyle w:val="FootnoteText"/>
        <w:rPr>
          <w:szCs w:val="22"/>
        </w:rPr>
      </w:pPr>
      <w:r w:rsidRPr="0046648B">
        <w:rPr>
          <w:rStyle w:val="FootnoteReference"/>
          <w:color w:val="auto"/>
          <w:sz w:val="22"/>
          <w:szCs w:val="22"/>
        </w:rPr>
        <w:footnoteRef/>
      </w:r>
      <w:r w:rsidRPr="0046648B">
        <w:rPr>
          <w:szCs w:val="22"/>
        </w:rPr>
        <w:t xml:space="preserve"> </w:t>
      </w:r>
      <w:r w:rsidR="00F43E69">
        <w:rPr>
          <w:szCs w:val="22"/>
        </w:rPr>
        <w:tab/>
      </w:r>
      <w:r w:rsidRPr="00123040" w:rsidR="002D608D">
        <w:rPr>
          <w:szCs w:val="22"/>
        </w:rPr>
        <w:t>Prepared Direct Testimony of Mindy Guardado on Behalf of San Diego Gas &amp; Electric Company (Exhibit No. SDGE-1)</w:t>
      </w:r>
      <w:r w:rsidRPr="00123040">
        <w:rPr>
          <w:szCs w:val="22"/>
        </w:rPr>
        <w:t xml:space="preserve"> at </w:t>
      </w:r>
      <w:r w:rsidRPr="00123040" w:rsidR="002D608D">
        <w:rPr>
          <w:szCs w:val="22"/>
        </w:rPr>
        <w:t>2-4</w:t>
      </w:r>
      <w:r w:rsidRPr="00123040">
        <w:rPr>
          <w:szCs w:val="22"/>
        </w:rPr>
        <w:t>.</w:t>
      </w:r>
    </w:p>
  </w:footnote>
  <w:footnote w:id="7">
    <w:p w:rsidRPr="0046648B" w:rsidR="007C4635" w:rsidP="00F81D2D" w:rsidRDefault="007C4635" w14:paraId="1BE6FB54" w14:textId="1FBE6DC6">
      <w:pPr>
        <w:pStyle w:val="FootnoteText"/>
        <w:rPr>
          <w:szCs w:val="22"/>
        </w:rPr>
      </w:pPr>
      <w:r w:rsidRPr="00123040">
        <w:rPr>
          <w:rStyle w:val="FootnoteReference"/>
          <w:color w:val="auto"/>
          <w:sz w:val="22"/>
          <w:szCs w:val="22"/>
        </w:rPr>
        <w:footnoteRef/>
      </w:r>
      <w:r w:rsidRPr="00123040">
        <w:rPr>
          <w:szCs w:val="22"/>
        </w:rPr>
        <w:t xml:space="preserve"> </w:t>
      </w:r>
      <w:r w:rsidRPr="00123040" w:rsidR="00F43E69">
        <w:rPr>
          <w:szCs w:val="22"/>
        </w:rPr>
        <w:tab/>
      </w:r>
      <w:r w:rsidRPr="00400412" w:rsidR="002D608D">
        <w:rPr>
          <w:i/>
          <w:iCs/>
          <w:szCs w:val="22"/>
        </w:rPr>
        <w:t xml:space="preserve">Id. </w:t>
      </w:r>
      <w:r w:rsidRPr="00123040">
        <w:rPr>
          <w:szCs w:val="22"/>
        </w:rPr>
        <w:t xml:space="preserve">at </w:t>
      </w:r>
      <w:r w:rsidRPr="00123040" w:rsidR="002D608D">
        <w:rPr>
          <w:szCs w:val="22"/>
        </w:rPr>
        <w:t>5</w:t>
      </w:r>
      <w:r w:rsidRPr="00123040">
        <w:rPr>
          <w:szCs w:val="22"/>
        </w:rPr>
        <w:t>.</w:t>
      </w:r>
      <w:r w:rsidRPr="0046648B" w:rsidR="00F81D2D">
        <w:rPr>
          <w:szCs w:val="22"/>
        </w:rPr>
        <w:t xml:space="preserve"> The Commission has previously accepted SDG&amp;E’s proposed Tariff revisions to implement CPUC rate-design changes. </w:t>
      </w:r>
      <w:r w:rsidRPr="0046648B" w:rsidR="00F81D2D">
        <w:rPr>
          <w:i/>
          <w:szCs w:val="22"/>
        </w:rPr>
        <w:t xml:space="preserve">See, e.g., </w:t>
      </w:r>
      <w:r w:rsidRPr="0046648B" w:rsidR="00F81D2D">
        <w:rPr>
          <w:szCs w:val="22"/>
        </w:rPr>
        <w:t>Letter Orders issued on: October 22, 2021 (Docket Number ER21-2540-000); June 6, 2016 (Docket Number ER16-1374).</w:t>
      </w:r>
    </w:p>
  </w:footnote>
  <w:footnote w:id="8">
    <w:p w:rsidRPr="0046648B" w:rsidR="007C4635" w:rsidP="007C4635" w:rsidRDefault="007C4635" w14:paraId="6DE6BCA4" w14:textId="289E2DD5">
      <w:pPr>
        <w:pStyle w:val="FootnoteText"/>
        <w:rPr>
          <w:rFonts w:cs="Arial"/>
        </w:rPr>
      </w:pPr>
      <w:r w:rsidRPr="0046648B">
        <w:rPr>
          <w:rStyle w:val="FootnoteReference"/>
          <w:color w:val="auto"/>
          <w:sz w:val="22"/>
          <w:szCs w:val="22"/>
        </w:rPr>
        <w:footnoteRef/>
      </w:r>
      <w:r w:rsidRPr="0046648B">
        <w:rPr>
          <w:szCs w:val="22"/>
        </w:rPr>
        <w:t xml:space="preserve"> </w:t>
      </w:r>
      <w:r w:rsidR="00F43E69">
        <w:rPr>
          <w:szCs w:val="22"/>
        </w:rPr>
        <w:tab/>
      </w:r>
      <w:r w:rsidRPr="0046648B">
        <w:rPr>
          <w:szCs w:val="22"/>
        </w:rPr>
        <w:t>SDG&amp;E Advice Letter 4791-E/E-A, approved by CPUC letter dated May 14,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F6AE214" w:rsidTr="5F6AE214" w14:paraId="1E09CD0E" w14:textId="77777777">
      <w:tc>
        <w:tcPr>
          <w:tcW w:w="3120" w:type="dxa"/>
        </w:tcPr>
        <w:p w:rsidR="5F6AE214" w:rsidP="5F6AE214" w:rsidRDefault="5F6AE214" w14:paraId="3A69A50E" w14:textId="731879AF">
          <w:pPr>
            <w:pStyle w:val="Header"/>
            <w:ind w:left="-115"/>
            <w:rPr>
              <w:bCs/>
              <w:szCs w:val="24"/>
            </w:rPr>
          </w:pPr>
        </w:p>
      </w:tc>
      <w:tc>
        <w:tcPr>
          <w:tcW w:w="3120" w:type="dxa"/>
        </w:tcPr>
        <w:p w:rsidR="5F6AE214" w:rsidP="5F6AE214" w:rsidRDefault="5F6AE214" w14:paraId="188FFB7E" w14:textId="6DB78940">
          <w:pPr>
            <w:pStyle w:val="Header"/>
            <w:jc w:val="center"/>
            <w:rPr>
              <w:bCs/>
              <w:szCs w:val="24"/>
            </w:rPr>
          </w:pPr>
        </w:p>
      </w:tc>
      <w:tc>
        <w:tcPr>
          <w:tcW w:w="3120" w:type="dxa"/>
        </w:tcPr>
        <w:p w:rsidR="5F6AE214" w:rsidP="5F6AE214" w:rsidRDefault="5F6AE214" w14:paraId="1BE95128" w14:textId="52A3EE59">
          <w:pPr>
            <w:pStyle w:val="Header"/>
            <w:ind w:right="-115"/>
            <w:jc w:val="right"/>
            <w:rPr>
              <w:bCs/>
              <w:szCs w:val="24"/>
            </w:rPr>
          </w:pPr>
        </w:p>
      </w:tc>
    </w:tr>
  </w:tbl>
  <w:p w:rsidR="5F6AE214" w:rsidP="5F6AE214" w:rsidRDefault="5F6AE214" w14:paraId="54284242" w14:textId="0AD77DF2">
    <w:pPr>
      <w:pStyle w:val="Header"/>
      <w:rPr>
        <w:bC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F6AE214" w:rsidTr="5F6AE214" w14:paraId="5256EFFC" w14:textId="77777777">
      <w:tc>
        <w:tcPr>
          <w:tcW w:w="3120" w:type="dxa"/>
        </w:tcPr>
        <w:p w:rsidR="5F6AE214" w:rsidP="5F6AE214" w:rsidRDefault="5F6AE214" w14:paraId="547BE046" w14:textId="7048EEEC">
          <w:pPr>
            <w:pStyle w:val="Header"/>
            <w:ind w:left="-115"/>
            <w:rPr>
              <w:bCs/>
              <w:szCs w:val="24"/>
            </w:rPr>
          </w:pPr>
        </w:p>
      </w:tc>
      <w:tc>
        <w:tcPr>
          <w:tcW w:w="3120" w:type="dxa"/>
        </w:tcPr>
        <w:p w:rsidR="5F6AE214" w:rsidP="5F6AE214" w:rsidRDefault="5F6AE214" w14:paraId="21FF03FE" w14:textId="6B3510CB">
          <w:pPr>
            <w:pStyle w:val="Header"/>
            <w:jc w:val="center"/>
            <w:rPr>
              <w:bCs/>
              <w:szCs w:val="24"/>
            </w:rPr>
          </w:pPr>
        </w:p>
      </w:tc>
      <w:tc>
        <w:tcPr>
          <w:tcW w:w="3120" w:type="dxa"/>
        </w:tcPr>
        <w:p w:rsidR="5F6AE214" w:rsidP="5F6AE214" w:rsidRDefault="5F6AE214" w14:paraId="7C46AD5F" w14:textId="45937F03">
          <w:pPr>
            <w:pStyle w:val="Header"/>
            <w:ind w:right="-115"/>
            <w:jc w:val="right"/>
            <w:rPr>
              <w:bCs/>
              <w:szCs w:val="24"/>
            </w:rPr>
          </w:pPr>
        </w:p>
      </w:tc>
    </w:tr>
  </w:tbl>
  <w:p w:rsidR="5F6AE214" w:rsidP="5F6AE214" w:rsidRDefault="5F6AE214" w14:paraId="57FAB7C3" w14:textId="5EAD75F5">
    <w:pPr>
      <w:pStyle w:val="Header"/>
      <w:rPr>
        <w:bCs/>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9557F" w:rsidR="0049557F" w:rsidP="0049557F" w:rsidRDefault="0049557F" w14:paraId="7D376E16" w14:textId="69A8FB35">
    <w:pPr>
      <w:pStyle w:val="Header"/>
      <w:rPr>
        <w:rFonts w:ascii="Times New Roman" w:hAnsi="Times New Roman"/>
        <w:b w:val="0"/>
        <w:bCs/>
        <w:snapToGrid w:val="0"/>
      </w:rPr>
    </w:pPr>
    <w:r w:rsidRPr="0049557F">
      <w:rPr>
        <w:rFonts w:ascii="Times New Roman" w:hAnsi="Times New Roman"/>
        <w:b w:val="0"/>
        <w:bCs/>
        <w:snapToGrid w:val="0"/>
      </w:rPr>
      <w:t xml:space="preserve">Ms. </w:t>
    </w:r>
    <w:r w:rsidR="00415F2F">
      <w:rPr>
        <w:rFonts w:ascii="Times New Roman" w:hAnsi="Times New Roman"/>
        <w:b w:val="0"/>
        <w:bCs/>
        <w:snapToGrid w:val="0"/>
      </w:rPr>
      <w:t>Debbie-Ann Reese</w:t>
    </w:r>
  </w:p>
  <w:p w:rsidR="00E57F1D" w:rsidP="00E57F1D" w:rsidRDefault="00E57F1D" w14:paraId="11A55A92" w14:textId="10BFFBAC">
    <w:pPr>
      <w:pStyle w:val="Header"/>
      <w:rPr>
        <w:rFonts w:ascii="Times New Roman" w:hAnsi="Times New Roman"/>
        <w:b w:val="0"/>
        <w:bCs/>
        <w:snapToGrid w:val="0"/>
      </w:rPr>
    </w:pPr>
    <w:r>
      <w:rPr>
        <w:rFonts w:ascii="Times New Roman" w:hAnsi="Times New Roman"/>
        <w:b w:val="0"/>
        <w:bCs/>
        <w:snapToGrid w:val="0"/>
      </w:rPr>
      <w:fldChar w:fldCharType="begin"/>
    </w:r>
    <w:r>
      <w:rPr>
        <w:rFonts w:ascii="Times New Roman" w:hAnsi="Times New Roman"/>
        <w:b w:val="0"/>
        <w:bCs/>
        <w:snapToGrid w:val="0"/>
      </w:rPr>
      <w:instrText xml:space="preserve"> DATE \@ "MMMM d, yyyy" </w:instrText>
    </w:r>
    <w:r>
      <w:rPr>
        <w:rFonts w:ascii="Times New Roman" w:hAnsi="Times New Roman"/>
        <w:b w:val="0"/>
        <w:bCs/>
        <w:snapToGrid w:val="0"/>
      </w:rPr>
      <w:fldChar w:fldCharType="separate"/>
    </w:r>
    <w:r w:rsidR="00FF3DAF">
      <w:rPr>
        <w:rFonts w:ascii="Times New Roman" w:hAnsi="Times New Roman"/>
        <w:b w:val="0"/>
        <w:bCs/>
        <w:noProof/>
        <w:snapToGrid w:val="0"/>
      </w:rPr>
      <w:t>September 28, 2026</w:t>
    </w:r>
    <w:r>
      <w:rPr>
        <w:rFonts w:ascii="Times New Roman" w:hAnsi="Times New Roman"/>
        <w:b w:val="0"/>
        <w:bCs/>
        <w:snapToGrid w:val="0"/>
      </w:rPr>
      <w:fldChar w:fldCharType="end"/>
    </w:r>
  </w:p>
  <w:p w:rsidR="00BE1FC7" w:rsidP="00E57F1D" w:rsidRDefault="0049557F" w14:paraId="62FA8404" w14:textId="5B9F845A">
    <w:pPr>
      <w:pStyle w:val="Header"/>
      <w:rPr>
        <w:rFonts w:ascii="Times New Roman" w:hAnsi="Times New Roman"/>
        <w:b w:val="0"/>
        <w:bCs/>
        <w:noProof/>
        <w:snapToGrid w:val="0"/>
      </w:rPr>
    </w:pPr>
    <w:r w:rsidRPr="0049557F">
      <w:rPr>
        <w:rFonts w:ascii="Times New Roman" w:hAnsi="Times New Roman"/>
        <w:b w:val="0"/>
        <w:bCs/>
        <w:snapToGrid w:val="0"/>
      </w:rPr>
      <w:t xml:space="preserve">Page </w:t>
    </w:r>
    <w:r w:rsidRPr="0049557F">
      <w:rPr>
        <w:rFonts w:ascii="Times New Roman" w:hAnsi="Times New Roman"/>
        <w:b w:val="0"/>
        <w:bCs/>
        <w:snapToGrid w:val="0"/>
      </w:rPr>
      <w:fldChar w:fldCharType="begin"/>
    </w:r>
    <w:r w:rsidRPr="0049557F">
      <w:rPr>
        <w:rFonts w:ascii="Times New Roman" w:hAnsi="Times New Roman"/>
        <w:b w:val="0"/>
        <w:bCs/>
        <w:snapToGrid w:val="0"/>
      </w:rPr>
      <w:instrText xml:space="preserve"> PAGE   \* MERGEFORMAT </w:instrText>
    </w:r>
    <w:r w:rsidRPr="0049557F">
      <w:rPr>
        <w:rFonts w:ascii="Times New Roman" w:hAnsi="Times New Roman"/>
        <w:b w:val="0"/>
        <w:bCs/>
        <w:snapToGrid w:val="0"/>
      </w:rPr>
      <w:fldChar w:fldCharType="separate"/>
    </w:r>
    <w:r w:rsidRPr="0049557F">
      <w:rPr>
        <w:rFonts w:ascii="Times New Roman" w:hAnsi="Times New Roman"/>
        <w:b w:val="0"/>
        <w:bCs/>
        <w:snapToGrid w:val="0"/>
      </w:rPr>
      <w:t>2</w:t>
    </w:r>
    <w:r w:rsidRPr="0049557F">
      <w:rPr>
        <w:rFonts w:ascii="Times New Roman" w:hAnsi="Times New Roman"/>
        <w:b w:val="0"/>
        <w:bCs/>
        <w:noProof/>
        <w:snapToGrid w:val="0"/>
      </w:rPr>
      <w:fldChar w:fldCharType="end"/>
    </w:r>
  </w:p>
  <w:p w:rsidRPr="0049557F" w:rsidR="00E57F1D" w:rsidP="00E57F1D" w:rsidRDefault="00E57F1D" w14:paraId="44502D3A" w14:textId="77777777">
    <w:pPr>
      <w:pStyle w:val="Header"/>
      <w:rPr>
        <w:rFonts w:ascii="Times New Roman" w:hAnsi="Times New Roman"/>
        <w:b w:val="0"/>
        <w:bCs/>
        <w:snapToGrid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F6AE214" w:rsidTr="5F6AE214" w14:paraId="19156124" w14:textId="77777777">
      <w:tc>
        <w:tcPr>
          <w:tcW w:w="3120" w:type="dxa"/>
        </w:tcPr>
        <w:p w:rsidR="5F6AE214" w:rsidP="5F6AE214" w:rsidRDefault="5F6AE214" w14:paraId="1804A42A" w14:textId="01631C01">
          <w:pPr>
            <w:pStyle w:val="Header"/>
            <w:ind w:left="-115"/>
            <w:rPr>
              <w:bCs/>
              <w:szCs w:val="24"/>
            </w:rPr>
          </w:pPr>
        </w:p>
      </w:tc>
      <w:tc>
        <w:tcPr>
          <w:tcW w:w="3120" w:type="dxa"/>
        </w:tcPr>
        <w:p w:rsidR="5F6AE214" w:rsidP="5F6AE214" w:rsidRDefault="5F6AE214" w14:paraId="57AA2DAB" w14:textId="1953D79C">
          <w:pPr>
            <w:pStyle w:val="Header"/>
            <w:jc w:val="center"/>
            <w:rPr>
              <w:bCs/>
              <w:szCs w:val="24"/>
            </w:rPr>
          </w:pPr>
        </w:p>
      </w:tc>
      <w:tc>
        <w:tcPr>
          <w:tcW w:w="3120" w:type="dxa"/>
        </w:tcPr>
        <w:p w:rsidR="5F6AE214" w:rsidP="5F6AE214" w:rsidRDefault="5F6AE214" w14:paraId="6FCD3A95" w14:textId="6AF66072">
          <w:pPr>
            <w:pStyle w:val="Header"/>
            <w:ind w:right="-115"/>
            <w:jc w:val="right"/>
            <w:rPr>
              <w:bCs/>
              <w:szCs w:val="24"/>
            </w:rPr>
          </w:pPr>
        </w:p>
      </w:tc>
    </w:tr>
  </w:tbl>
  <w:p w:rsidR="5F6AE214" w:rsidP="5F6AE214" w:rsidRDefault="5F6AE214" w14:paraId="2642445A" w14:textId="3F84D5F3">
    <w:pPr>
      <w:pStyle w:val="Header"/>
      <w:rPr>
        <w:bCs/>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hybridMultilevel"/>
    <w:tmpl w:val="99C24E1A"/>
    <w:lvl w:ilvl="0" w:tplc="9336233C">
      <w:start w:val="1"/>
      <w:numFmt w:val="bullet"/>
      <w:pStyle w:val="ListBullet"/>
      <w:lvlText w:val=""/>
      <w:lvlJc w:val="left"/>
      <w:pPr>
        <w:tabs>
          <w:tab w:val="num" w:pos="360"/>
        </w:tabs>
        <w:ind w:left="360" w:hanging="360"/>
      </w:pPr>
      <w:rPr>
        <w:rFonts w:hint="default" w:ascii="Symbol" w:hAnsi="Symbol"/>
      </w:rPr>
    </w:lvl>
    <w:lvl w:ilvl="1" w:tplc="0812EF76">
      <w:numFmt w:val="decimal"/>
      <w:lvlText w:val=""/>
      <w:lvlJc w:val="left"/>
    </w:lvl>
    <w:lvl w:ilvl="2" w:tplc="2F1A7BBE">
      <w:numFmt w:val="decimal"/>
      <w:lvlText w:val=""/>
      <w:lvlJc w:val="left"/>
    </w:lvl>
    <w:lvl w:ilvl="3" w:tplc="CB5C25C4">
      <w:numFmt w:val="decimal"/>
      <w:lvlText w:val=""/>
      <w:lvlJc w:val="left"/>
    </w:lvl>
    <w:lvl w:ilvl="4" w:tplc="43963DC4">
      <w:numFmt w:val="decimal"/>
      <w:lvlText w:val=""/>
      <w:lvlJc w:val="left"/>
    </w:lvl>
    <w:lvl w:ilvl="5" w:tplc="FC96A8C6">
      <w:numFmt w:val="decimal"/>
      <w:lvlText w:val=""/>
      <w:lvlJc w:val="left"/>
    </w:lvl>
    <w:lvl w:ilvl="6" w:tplc="56EE82C4">
      <w:numFmt w:val="decimal"/>
      <w:lvlText w:val=""/>
      <w:lvlJc w:val="left"/>
    </w:lvl>
    <w:lvl w:ilvl="7" w:tplc="2C204D0A">
      <w:numFmt w:val="decimal"/>
      <w:lvlText w:val=""/>
      <w:lvlJc w:val="left"/>
    </w:lvl>
    <w:lvl w:ilvl="8" w:tplc="D74296A4">
      <w:numFmt w:val="decimal"/>
      <w:lvlText w:val=""/>
      <w:lvlJc w:val="left"/>
    </w:lvl>
  </w:abstractNum>
  <w:abstractNum w:abstractNumId="1" w15:restartNumberingAfterBreak="0">
    <w:nsid w:val="00241C3D"/>
    <w:multiLevelType w:val="hybridMultilevel"/>
    <w:tmpl w:val="F2009518"/>
    <w:lvl w:ilvl="0" w:tplc="6FCEC9EC">
      <w:start w:val="1"/>
      <w:numFmt w:val="upperLetter"/>
      <w:lvlText w:val="%1."/>
      <w:lvlJc w:val="left"/>
      <w:pPr>
        <w:ind w:left="1440" w:hanging="720"/>
      </w:pPr>
      <w:rPr>
        <w:rFonts w:hint="default" w:ascii="Times New Roman" w:hAnsi="Times New Roman" w:eastAsia="Times New Roman" w:cs="Times New Roman"/>
        <w:b/>
        <w:bCs/>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4583A"/>
    <w:multiLevelType w:val="hybridMultilevel"/>
    <w:tmpl w:val="D58852A2"/>
    <w:lvl w:ilvl="0" w:tplc="6FCEC9EC">
      <w:start w:val="1"/>
      <w:numFmt w:val="upperLetter"/>
      <w:lvlText w:val="%1."/>
      <w:lvlJc w:val="left"/>
      <w:pPr>
        <w:ind w:left="1440" w:hanging="720"/>
      </w:pPr>
      <w:rPr>
        <w:rFonts w:hint="default" w:ascii="Times New Roman" w:hAnsi="Times New Roman" w:eastAsia="Times New Roman" w:cs="Times New Roman"/>
        <w:b/>
        <w:bCs/>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772EEC"/>
    <w:multiLevelType w:val="hybridMultilevel"/>
    <w:tmpl w:val="A3266EDE"/>
    <w:lvl w:ilvl="0" w:tplc="04090001">
      <w:start w:val="1"/>
      <w:numFmt w:val="bullet"/>
      <w:lvlText w:val=""/>
      <w:lvlJc w:val="left"/>
      <w:pPr>
        <w:ind w:left="1439" w:hanging="360"/>
      </w:pPr>
      <w:rPr>
        <w:rFonts w:hint="default" w:ascii="Symbol" w:hAnsi="Symbol"/>
      </w:rPr>
    </w:lvl>
    <w:lvl w:ilvl="1" w:tplc="04090003" w:tentative="1">
      <w:start w:val="1"/>
      <w:numFmt w:val="bullet"/>
      <w:lvlText w:val="o"/>
      <w:lvlJc w:val="left"/>
      <w:pPr>
        <w:ind w:left="2159" w:hanging="360"/>
      </w:pPr>
      <w:rPr>
        <w:rFonts w:hint="default" w:ascii="Courier New" w:hAnsi="Courier New" w:cs="Courier New"/>
      </w:rPr>
    </w:lvl>
    <w:lvl w:ilvl="2" w:tplc="04090005" w:tentative="1">
      <w:start w:val="1"/>
      <w:numFmt w:val="bullet"/>
      <w:lvlText w:val=""/>
      <w:lvlJc w:val="left"/>
      <w:pPr>
        <w:ind w:left="2879" w:hanging="360"/>
      </w:pPr>
      <w:rPr>
        <w:rFonts w:hint="default" w:ascii="Wingdings" w:hAnsi="Wingdings"/>
      </w:rPr>
    </w:lvl>
    <w:lvl w:ilvl="3" w:tplc="04090001" w:tentative="1">
      <w:start w:val="1"/>
      <w:numFmt w:val="bullet"/>
      <w:lvlText w:val=""/>
      <w:lvlJc w:val="left"/>
      <w:pPr>
        <w:ind w:left="3599" w:hanging="360"/>
      </w:pPr>
      <w:rPr>
        <w:rFonts w:hint="default" w:ascii="Symbol" w:hAnsi="Symbol"/>
      </w:rPr>
    </w:lvl>
    <w:lvl w:ilvl="4" w:tplc="04090003" w:tentative="1">
      <w:start w:val="1"/>
      <w:numFmt w:val="bullet"/>
      <w:lvlText w:val="o"/>
      <w:lvlJc w:val="left"/>
      <w:pPr>
        <w:ind w:left="4319" w:hanging="360"/>
      </w:pPr>
      <w:rPr>
        <w:rFonts w:hint="default" w:ascii="Courier New" w:hAnsi="Courier New" w:cs="Courier New"/>
      </w:rPr>
    </w:lvl>
    <w:lvl w:ilvl="5" w:tplc="04090005" w:tentative="1">
      <w:start w:val="1"/>
      <w:numFmt w:val="bullet"/>
      <w:lvlText w:val=""/>
      <w:lvlJc w:val="left"/>
      <w:pPr>
        <w:ind w:left="5039" w:hanging="360"/>
      </w:pPr>
      <w:rPr>
        <w:rFonts w:hint="default" w:ascii="Wingdings" w:hAnsi="Wingdings"/>
      </w:rPr>
    </w:lvl>
    <w:lvl w:ilvl="6" w:tplc="04090001" w:tentative="1">
      <w:start w:val="1"/>
      <w:numFmt w:val="bullet"/>
      <w:lvlText w:val=""/>
      <w:lvlJc w:val="left"/>
      <w:pPr>
        <w:ind w:left="5759" w:hanging="360"/>
      </w:pPr>
      <w:rPr>
        <w:rFonts w:hint="default" w:ascii="Symbol" w:hAnsi="Symbol"/>
      </w:rPr>
    </w:lvl>
    <w:lvl w:ilvl="7" w:tplc="04090003" w:tentative="1">
      <w:start w:val="1"/>
      <w:numFmt w:val="bullet"/>
      <w:lvlText w:val="o"/>
      <w:lvlJc w:val="left"/>
      <w:pPr>
        <w:ind w:left="6479" w:hanging="360"/>
      </w:pPr>
      <w:rPr>
        <w:rFonts w:hint="default" w:ascii="Courier New" w:hAnsi="Courier New" w:cs="Courier New"/>
      </w:rPr>
    </w:lvl>
    <w:lvl w:ilvl="8" w:tplc="04090005" w:tentative="1">
      <w:start w:val="1"/>
      <w:numFmt w:val="bullet"/>
      <w:lvlText w:val=""/>
      <w:lvlJc w:val="left"/>
      <w:pPr>
        <w:ind w:left="7199" w:hanging="360"/>
      </w:pPr>
      <w:rPr>
        <w:rFonts w:hint="default" w:ascii="Wingdings" w:hAnsi="Wingdings"/>
      </w:rPr>
    </w:lvl>
  </w:abstractNum>
  <w:abstractNum w:abstractNumId="4" w15:restartNumberingAfterBreak="0">
    <w:nsid w:val="18B45B6D"/>
    <w:multiLevelType w:val="hybridMultilevel"/>
    <w:tmpl w:val="56CC5AB4"/>
    <w:lvl w:ilvl="0" w:tplc="332A1C66">
      <w:start w:val="1"/>
      <w:numFmt w:val="decimal"/>
      <w:lvlText w:val="%1."/>
      <w:lvlJc w:val="left"/>
      <w:pPr>
        <w:ind w:left="2160" w:hanging="720"/>
      </w:pPr>
      <w:rPr>
        <w:rFonts w:hint="default" w:ascii="Times New Roman" w:hAnsi="Times New Roman" w:eastAsia="Times New Roman" w:cs="Times New Roman"/>
        <w:b/>
        <w:bCs/>
        <w:i w:val="0"/>
        <w:iCs w:val="0"/>
        <w:spacing w:val="0"/>
        <w:w w:val="100"/>
        <w:sz w:val="24"/>
        <w:szCs w:val="24"/>
        <w:lang w:val="en-US" w:eastAsia="en-US" w:bidi="ar-SA"/>
      </w:rPr>
    </w:lvl>
    <w:lvl w:ilvl="1" w:tplc="ECE4A966">
      <w:numFmt w:val="bullet"/>
      <w:lvlText w:val="•"/>
      <w:lvlJc w:val="left"/>
      <w:pPr>
        <w:ind w:left="2916" w:hanging="720"/>
      </w:pPr>
      <w:rPr>
        <w:rFonts w:hint="default"/>
        <w:lang w:val="en-US" w:eastAsia="en-US" w:bidi="ar-SA"/>
      </w:rPr>
    </w:lvl>
    <w:lvl w:ilvl="2" w:tplc="2B604A6E">
      <w:numFmt w:val="bullet"/>
      <w:lvlText w:val="•"/>
      <w:lvlJc w:val="left"/>
      <w:pPr>
        <w:ind w:left="3672" w:hanging="720"/>
      </w:pPr>
      <w:rPr>
        <w:rFonts w:hint="default"/>
        <w:lang w:val="en-US" w:eastAsia="en-US" w:bidi="ar-SA"/>
      </w:rPr>
    </w:lvl>
    <w:lvl w:ilvl="3" w:tplc="BC4AE826">
      <w:numFmt w:val="bullet"/>
      <w:lvlText w:val="•"/>
      <w:lvlJc w:val="left"/>
      <w:pPr>
        <w:ind w:left="4428" w:hanging="720"/>
      </w:pPr>
      <w:rPr>
        <w:rFonts w:hint="default"/>
        <w:lang w:val="en-US" w:eastAsia="en-US" w:bidi="ar-SA"/>
      </w:rPr>
    </w:lvl>
    <w:lvl w:ilvl="4" w:tplc="77686FE4">
      <w:numFmt w:val="bullet"/>
      <w:lvlText w:val="•"/>
      <w:lvlJc w:val="left"/>
      <w:pPr>
        <w:ind w:left="5184" w:hanging="720"/>
      </w:pPr>
      <w:rPr>
        <w:rFonts w:hint="default"/>
        <w:lang w:val="en-US" w:eastAsia="en-US" w:bidi="ar-SA"/>
      </w:rPr>
    </w:lvl>
    <w:lvl w:ilvl="5" w:tplc="FC2CC44E">
      <w:numFmt w:val="bullet"/>
      <w:lvlText w:val="•"/>
      <w:lvlJc w:val="left"/>
      <w:pPr>
        <w:ind w:left="5940" w:hanging="720"/>
      </w:pPr>
      <w:rPr>
        <w:rFonts w:hint="default"/>
        <w:lang w:val="en-US" w:eastAsia="en-US" w:bidi="ar-SA"/>
      </w:rPr>
    </w:lvl>
    <w:lvl w:ilvl="6" w:tplc="6C7EBE1E">
      <w:numFmt w:val="bullet"/>
      <w:lvlText w:val="•"/>
      <w:lvlJc w:val="left"/>
      <w:pPr>
        <w:ind w:left="6696" w:hanging="720"/>
      </w:pPr>
      <w:rPr>
        <w:rFonts w:hint="default"/>
        <w:lang w:val="en-US" w:eastAsia="en-US" w:bidi="ar-SA"/>
      </w:rPr>
    </w:lvl>
    <w:lvl w:ilvl="7" w:tplc="FBBE6228">
      <w:numFmt w:val="bullet"/>
      <w:lvlText w:val="•"/>
      <w:lvlJc w:val="left"/>
      <w:pPr>
        <w:ind w:left="7452" w:hanging="720"/>
      </w:pPr>
      <w:rPr>
        <w:rFonts w:hint="default"/>
        <w:lang w:val="en-US" w:eastAsia="en-US" w:bidi="ar-SA"/>
      </w:rPr>
    </w:lvl>
    <w:lvl w:ilvl="8" w:tplc="0D806A92">
      <w:numFmt w:val="bullet"/>
      <w:lvlText w:val="•"/>
      <w:lvlJc w:val="left"/>
      <w:pPr>
        <w:ind w:left="8208" w:hanging="720"/>
      </w:pPr>
      <w:rPr>
        <w:rFonts w:hint="default"/>
        <w:lang w:val="en-US" w:eastAsia="en-US" w:bidi="ar-SA"/>
      </w:rPr>
    </w:lvl>
  </w:abstractNum>
  <w:abstractNum w:abstractNumId="5" w15:restartNumberingAfterBreak="0">
    <w:nsid w:val="1D5C130A"/>
    <w:multiLevelType w:val="hybridMultilevel"/>
    <w:tmpl w:val="37CE25E6"/>
    <w:lvl w:ilvl="0" w:tplc="FC281C54">
      <w:start w:val="1"/>
      <w:numFmt w:val="decimal"/>
      <w:lvlText w:val="%1."/>
      <w:lvlJc w:val="left"/>
      <w:pPr>
        <w:ind w:left="2700" w:hanging="720"/>
      </w:pPr>
      <w:rPr>
        <w:rFonts w:hint="default" w:ascii="Times New Roman" w:hAnsi="Times New Roman" w:eastAsia="Times New Roman" w:cs="Times New Roman"/>
        <w:b/>
        <w:bCs/>
        <w:i w:val="0"/>
        <w:iCs w:val="0"/>
        <w:spacing w:val="0"/>
        <w:w w:val="100"/>
        <w:sz w:val="24"/>
        <w:szCs w:val="24"/>
        <w:lang w:val="en-US" w:eastAsia="en-US" w:bidi="ar-SA"/>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27546B4B"/>
    <w:multiLevelType w:val="hybridMultilevel"/>
    <w:tmpl w:val="E272D8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DEC6A1E"/>
    <w:multiLevelType w:val="hybridMultilevel"/>
    <w:tmpl w:val="A2B22524"/>
    <w:lvl w:ilvl="0" w:tplc="2B8C0854">
      <w:start w:val="1"/>
      <w:numFmt w:val="decimal"/>
      <w:lvlText w:val="%1."/>
      <w:lvlJc w:val="left"/>
      <w:pPr>
        <w:ind w:left="1440" w:hanging="720"/>
      </w:pPr>
      <w:rPr>
        <w:rFonts w:hint="default" w:ascii="Times New Roman" w:hAnsi="Times New Roman" w:eastAsia="Times New Roman" w:cs="Times New Roman"/>
        <w:b w:val="0"/>
        <w:bCs w:val="0"/>
        <w:i w:val="0"/>
        <w:iCs w:val="0"/>
        <w:spacing w:val="0"/>
        <w:w w:val="100"/>
        <w:sz w:val="24"/>
        <w:szCs w:val="24"/>
        <w:lang w:val="en-US" w:eastAsia="en-US" w:bidi="ar-SA"/>
      </w:rPr>
    </w:lvl>
    <w:lvl w:ilvl="1" w:tplc="EC20187A">
      <w:numFmt w:val="bullet"/>
      <w:lvlText w:val="•"/>
      <w:lvlJc w:val="left"/>
      <w:pPr>
        <w:ind w:left="2232" w:hanging="720"/>
      </w:pPr>
      <w:rPr>
        <w:lang w:val="en-US" w:eastAsia="en-US" w:bidi="ar-SA"/>
      </w:rPr>
    </w:lvl>
    <w:lvl w:ilvl="2" w:tplc="532AC95C">
      <w:numFmt w:val="bullet"/>
      <w:lvlText w:val="•"/>
      <w:lvlJc w:val="left"/>
      <w:pPr>
        <w:ind w:left="3024" w:hanging="720"/>
      </w:pPr>
      <w:rPr>
        <w:lang w:val="en-US" w:eastAsia="en-US" w:bidi="ar-SA"/>
      </w:rPr>
    </w:lvl>
    <w:lvl w:ilvl="3" w:tplc="72824DEA">
      <w:numFmt w:val="bullet"/>
      <w:lvlText w:val="•"/>
      <w:lvlJc w:val="left"/>
      <w:pPr>
        <w:ind w:left="3816" w:hanging="720"/>
      </w:pPr>
      <w:rPr>
        <w:lang w:val="en-US" w:eastAsia="en-US" w:bidi="ar-SA"/>
      </w:rPr>
    </w:lvl>
    <w:lvl w:ilvl="4" w:tplc="9950FAE8">
      <w:numFmt w:val="bullet"/>
      <w:lvlText w:val="•"/>
      <w:lvlJc w:val="left"/>
      <w:pPr>
        <w:ind w:left="4608" w:hanging="720"/>
      </w:pPr>
      <w:rPr>
        <w:lang w:val="en-US" w:eastAsia="en-US" w:bidi="ar-SA"/>
      </w:rPr>
    </w:lvl>
    <w:lvl w:ilvl="5" w:tplc="1D7473AC">
      <w:numFmt w:val="bullet"/>
      <w:lvlText w:val="•"/>
      <w:lvlJc w:val="left"/>
      <w:pPr>
        <w:ind w:left="5400" w:hanging="720"/>
      </w:pPr>
      <w:rPr>
        <w:lang w:val="en-US" w:eastAsia="en-US" w:bidi="ar-SA"/>
      </w:rPr>
    </w:lvl>
    <w:lvl w:ilvl="6" w:tplc="05363E2C">
      <w:numFmt w:val="bullet"/>
      <w:lvlText w:val="•"/>
      <w:lvlJc w:val="left"/>
      <w:pPr>
        <w:ind w:left="6192" w:hanging="720"/>
      </w:pPr>
      <w:rPr>
        <w:lang w:val="en-US" w:eastAsia="en-US" w:bidi="ar-SA"/>
      </w:rPr>
    </w:lvl>
    <w:lvl w:ilvl="7" w:tplc="744626AC">
      <w:numFmt w:val="bullet"/>
      <w:lvlText w:val="•"/>
      <w:lvlJc w:val="left"/>
      <w:pPr>
        <w:ind w:left="6984" w:hanging="720"/>
      </w:pPr>
      <w:rPr>
        <w:lang w:val="en-US" w:eastAsia="en-US" w:bidi="ar-SA"/>
      </w:rPr>
    </w:lvl>
    <w:lvl w:ilvl="8" w:tplc="ECD8E124">
      <w:numFmt w:val="bullet"/>
      <w:lvlText w:val="•"/>
      <w:lvlJc w:val="left"/>
      <w:pPr>
        <w:ind w:left="7776" w:hanging="720"/>
      </w:pPr>
      <w:rPr>
        <w:lang w:val="en-US" w:eastAsia="en-US" w:bidi="ar-SA"/>
      </w:rPr>
    </w:lvl>
  </w:abstractNum>
  <w:abstractNum w:abstractNumId="8" w15:restartNumberingAfterBreak="0">
    <w:nsid w:val="34E042A5"/>
    <w:multiLevelType w:val="hybridMultilevel"/>
    <w:tmpl w:val="8BE8CF06"/>
    <w:lvl w:ilvl="0" w:tplc="E9B8FCEC">
      <w:start w:val="4"/>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9109E6"/>
    <w:multiLevelType w:val="hybridMultilevel"/>
    <w:tmpl w:val="FAAE87EA"/>
    <w:lvl w:ilvl="0" w:tplc="997475EA">
      <w:start w:val="1"/>
      <w:numFmt w:val="upperRoman"/>
      <w:lvlText w:val="%1."/>
      <w:lvlJc w:val="left"/>
      <w:pPr>
        <w:ind w:left="720" w:hanging="720"/>
      </w:pPr>
      <w:rPr>
        <w:rFonts w:hint="default" w:ascii="Times New Roman" w:hAnsi="Times New Roman" w:eastAsia="Times New Roman" w:cs="Times New Roman"/>
        <w:b/>
        <w:bCs/>
        <w:i w:val="0"/>
        <w:iCs w:val="0"/>
        <w:spacing w:val="0"/>
        <w:w w:val="100"/>
        <w:sz w:val="24"/>
        <w:szCs w:val="24"/>
        <w:lang w:val="en-US" w:eastAsia="en-US" w:bidi="ar-SA"/>
      </w:rPr>
    </w:lvl>
    <w:lvl w:ilvl="1" w:tplc="FCF26CE0">
      <w:start w:val="1"/>
      <w:numFmt w:val="upperLetter"/>
      <w:lvlText w:val="%2."/>
      <w:lvlJc w:val="left"/>
      <w:pPr>
        <w:ind w:left="1440" w:hanging="720"/>
      </w:pPr>
      <w:rPr>
        <w:rFonts w:hint="default" w:ascii="Times New Roman" w:hAnsi="Times New Roman" w:eastAsia="Times New Roman" w:cs="Times New Roman"/>
        <w:b/>
        <w:bCs/>
        <w:i w:val="0"/>
        <w:iCs w:val="0"/>
        <w:spacing w:val="-1"/>
        <w:w w:val="100"/>
        <w:sz w:val="24"/>
        <w:szCs w:val="24"/>
        <w:lang w:val="en-US" w:eastAsia="en-US" w:bidi="ar-SA"/>
      </w:rPr>
    </w:lvl>
    <w:lvl w:ilvl="2" w:tplc="34C60CF4">
      <w:numFmt w:val="bullet"/>
      <w:lvlText w:val=""/>
      <w:lvlJc w:val="left"/>
      <w:pPr>
        <w:ind w:left="2160" w:hanging="720"/>
      </w:pPr>
      <w:rPr>
        <w:rFonts w:hint="default" w:ascii="Symbol" w:hAnsi="Symbol" w:eastAsia="Symbol" w:cs="Symbol"/>
        <w:b w:val="0"/>
        <w:bCs w:val="0"/>
        <w:i w:val="0"/>
        <w:iCs w:val="0"/>
        <w:spacing w:val="0"/>
        <w:w w:val="100"/>
        <w:sz w:val="24"/>
        <w:szCs w:val="24"/>
        <w:lang w:val="en-US" w:eastAsia="en-US" w:bidi="ar-SA"/>
      </w:rPr>
    </w:lvl>
    <w:lvl w:ilvl="3" w:tplc="6E74D70E">
      <w:numFmt w:val="bullet"/>
      <w:lvlText w:val="•"/>
      <w:lvlJc w:val="left"/>
      <w:pPr>
        <w:ind w:left="3060" w:hanging="720"/>
      </w:pPr>
      <w:rPr>
        <w:lang w:val="en-US" w:eastAsia="en-US" w:bidi="ar-SA"/>
      </w:rPr>
    </w:lvl>
    <w:lvl w:ilvl="4" w:tplc="BEE6F178">
      <w:numFmt w:val="bullet"/>
      <w:lvlText w:val="•"/>
      <w:lvlJc w:val="left"/>
      <w:pPr>
        <w:ind w:left="3960" w:hanging="720"/>
      </w:pPr>
      <w:rPr>
        <w:lang w:val="en-US" w:eastAsia="en-US" w:bidi="ar-SA"/>
      </w:rPr>
    </w:lvl>
    <w:lvl w:ilvl="5" w:tplc="455C378A">
      <w:numFmt w:val="bullet"/>
      <w:lvlText w:val="•"/>
      <w:lvlJc w:val="left"/>
      <w:pPr>
        <w:ind w:left="4860" w:hanging="720"/>
      </w:pPr>
      <w:rPr>
        <w:lang w:val="en-US" w:eastAsia="en-US" w:bidi="ar-SA"/>
      </w:rPr>
    </w:lvl>
    <w:lvl w:ilvl="6" w:tplc="FC563250">
      <w:numFmt w:val="bullet"/>
      <w:lvlText w:val="•"/>
      <w:lvlJc w:val="left"/>
      <w:pPr>
        <w:ind w:left="5760" w:hanging="720"/>
      </w:pPr>
      <w:rPr>
        <w:lang w:val="en-US" w:eastAsia="en-US" w:bidi="ar-SA"/>
      </w:rPr>
    </w:lvl>
    <w:lvl w:ilvl="7" w:tplc="6F2082B8">
      <w:numFmt w:val="bullet"/>
      <w:lvlText w:val="•"/>
      <w:lvlJc w:val="left"/>
      <w:pPr>
        <w:ind w:left="6660" w:hanging="720"/>
      </w:pPr>
      <w:rPr>
        <w:lang w:val="en-US" w:eastAsia="en-US" w:bidi="ar-SA"/>
      </w:rPr>
    </w:lvl>
    <w:lvl w:ilvl="8" w:tplc="63FC336C">
      <w:numFmt w:val="bullet"/>
      <w:lvlText w:val="•"/>
      <w:lvlJc w:val="left"/>
      <w:pPr>
        <w:ind w:left="7560" w:hanging="720"/>
      </w:pPr>
      <w:rPr>
        <w:lang w:val="en-US" w:eastAsia="en-US" w:bidi="ar-SA"/>
      </w:rPr>
    </w:lvl>
  </w:abstractNum>
  <w:abstractNum w:abstractNumId="10" w15:restartNumberingAfterBreak="0">
    <w:nsid w:val="3ACB3476"/>
    <w:multiLevelType w:val="hybridMultilevel"/>
    <w:tmpl w:val="7DF0FD9A"/>
    <w:lvl w:ilvl="0" w:tplc="FC281C54">
      <w:start w:val="1"/>
      <w:numFmt w:val="decimal"/>
      <w:lvlText w:val="%1."/>
      <w:lvlJc w:val="left"/>
      <w:pPr>
        <w:ind w:left="2160" w:hanging="720"/>
      </w:pPr>
      <w:rPr>
        <w:rFonts w:hint="default" w:ascii="Times New Roman" w:hAnsi="Times New Roman" w:eastAsia="Times New Roman" w:cs="Times New Roman"/>
        <w:b/>
        <w:bCs/>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E54F15"/>
    <w:multiLevelType w:val="hybridMultilevel"/>
    <w:tmpl w:val="3752CBC8"/>
    <w:lvl w:ilvl="0" w:tplc="8F58B3CC">
      <w:start w:val="1"/>
      <w:numFmt w:val="upperRoman"/>
      <w:pStyle w:val="Heading1"/>
      <w:lvlText w:val="%1."/>
      <w:lvlJc w:val="left"/>
      <w:pPr>
        <w:ind w:left="720" w:hanging="360"/>
      </w:pPr>
      <w:rPr>
        <w:rFonts w:hint="default" w:ascii="Times New Roman" w:hAnsi="Times New Roman" w:eastAsia="Times New Roman"/>
        <w:b/>
        <w:bCs/>
        <w:spacing w:val="-1"/>
        <w:sz w:val="24"/>
        <w:szCs w:val="24"/>
      </w:rPr>
    </w:lvl>
    <w:lvl w:ilvl="1" w:tplc="228A7822" w:tentative="1">
      <w:start w:val="1"/>
      <w:numFmt w:val="lowerLetter"/>
      <w:lvlText w:val="%2."/>
      <w:lvlJc w:val="left"/>
      <w:pPr>
        <w:ind w:left="1440" w:hanging="360"/>
      </w:pPr>
    </w:lvl>
    <w:lvl w:ilvl="2" w:tplc="0A76966C" w:tentative="1">
      <w:start w:val="1"/>
      <w:numFmt w:val="lowerRoman"/>
      <w:lvlText w:val="%3."/>
      <w:lvlJc w:val="right"/>
      <w:pPr>
        <w:ind w:left="2160" w:hanging="180"/>
      </w:pPr>
    </w:lvl>
    <w:lvl w:ilvl="3" w:tplc="588AFF54" w:tentative="1">
      <w:start w:val="1"/>
      <w:numFmt w:val="decimal"/>
      <w:lvlText w:val="%4."/>
      <w:lvlJc w:val="left"/>
      <w:pPr>
        <w:ind w:left="2880" w:hanging="360"/>
      </w:pPr>
    </w:lvl>
    <w:lvl w:ilvl="4" w:tplc="E7CCFF06" w:tentative="1">
      <w:start w:val="1"/>
      <w:numFmt w:val="lowerLetter"/>
      <w:lvlText w:val="%5."/>
      <w:lvlJc w:val="left"/>
      <w:pPr>
        <w:ind w:left="3600" w:hanging="360"/>
      </w:pPr>
    </w:lvl>
    <w:lvl w:ilvl="5" w:tplc="491876AE" w:tentative="1">
      <w:start w:val="1"/>
      <w:numFmt w:val="lowerRoman"/>
      <w:lvlText w:val="%6."/>
      <w:lvlJc w:val="right"/>
      <w:pPr>
        <w:ind w:left="4320" w:hanging="180"/>
      </w:pPr>
    </w:lvl>
    <w:lvl w:ilvl="6" w:tplc="628042E6" w:tentative="1">
      <w:start w:val="1"/>
      <w:numFmt w:val="decimal"/>
      <w:lvlText w:val="%7."/>
      <w:lvlJc w:val="left"/>
      <w:pPr>
        <w:ind w:left="5040" w:hanging="360"/>
      </w:pPr>
    </w:lvl>
    <w:lvl w:ilvl="7" w:tplc="D2AE1918" w:tentative="1">
      <w:start w:val="1"/>
      <w:numFmt w:val="lowerLetter"/>
      <w:lvlText w:val="%8."/>
      <w:lvlJc w:val="left"/>
      <w:pPr>
        <w:ind w:left="5760" w:hanging="360"/>
      </w:pPr>
    </w:lvl>
    <w:lvl w:ilvl="8" w:tplc="2A9038BA" w:tentative="1">
      <w:start w:val="1"/>
      <w:numFmt w:val="lowerRoman"/>
      <w:lvlText w:val="%9."/>
      <w:lvlJc w:val="right"/>
      <w:pPr>
        <w:ind w:left="6480" w:hanging="180"/>
      </w:pPr>
    </w:lvl>
  </w:abstractNum>
  <w:abstractNum w:abstractNumId="12" w15:restartNumberingAfterBreak="0">
    <w:nsid w:val="4BC5792D"/>
    <w:multiLevelType w:val="hybridMultilevel"/>
    <w:tmpl w:val="EAD6C05C"/>
    <w:lvl w:ilvl="0" w:tplc="0AB28A60">
      <w:numFmt w:val="bullet"/>
      <w:lvlText w:val=""/>
      <w:lvlJc w:val="left"/>
      <w:pPr>
        <w:ind w:left="720" w:hanging="360"/>
      </w:pPr>
      <w:rPr>
        <w:rFonts w:hint="default" w:ascii="Symbol" w:hAnsi="Symbol" w:eastAsia="Symbol" w:cs="Symbol"/>
        <w:b w:val="0"/>
        <w:bCs w:val="0"/>
        <w:i w:val="0"/>
        <w:iCs w:val="0"/>
        <w:spacing w:val="0"/>
        <w:w w:val="100"/>
        <w:sz w:val="24"/>
        <w:szCs w:val="24"/>
        <w:lang w:val="en-US" w:eastAsia="en-US" w:bidi="ar-SA"/>
      </w:rPr>
    </w:lvl>
    <w:lvl w:ilvl="1" w:tplc="049AD65C">
      <w:numFmt w:val="bullet"/>
      <w:lvlText w:val="•"/>
      <w:lvlJc w:val="left"/>
      <w:pPr>
        <w:ind w:left="1620" w:hanging="360"/>
      </w:pPr>
      <w:rPr>
        <w:rFonts w:hint="default"/>
        <w:lang w:val="en-US" w:eastAsia="en-US" w:bidi="ar-SA"/>
      </w:rPr>
    </w:lvl>
    <w:lvl w:ilvl="2" w:tplc="0D003456">
      <w:numFmt w:val="bullet"/>
      <w:lvlText w:val="•"/>
      <w:lvlJc w:val="left"/>
      <w:pPr>
        <w:ind w:left="2520" w:hanging="360"/>
      </w:pPr>
      <w:rPr>
        <w:rFonts w:hint="default"/>
        <w:lang w:val="en-US" w:eastAsia="en-US" w:bidi="ar-SA"/>
      </w:rPr>
    </w:lvl>
    <w:lvl w:ilvl="3" w:tplc="5156BC42">
      <w:numFmt w:val="bullet"/>
      <w:lvlText w:val="•"/>
      <w:lvlJc w:val="left"/>
      <w:pPr>
        <w:ind w:left="3420" w:hanging="360"/>
      </w:pPr>
      <w:rPr>
        <w:rFonts w:hint="default"/>
        <w:lang w:val="en-US" w:eastAsia="en-US" w:bidi="ar-SA"/>
      </w:rPr>
    </w:lvl>
    <w:lvl w:ilvl="4" w:tplc="E0C455E8">
      <w:numFmt w:val="bullet"/>
      <w:lvlText w:val="•"/>
      <w:lvlJc w:val="left"/>
      <w:pPr>
        <w:ind w:left="4320" w:hanging="360"/>
      </w:pPr>
      <w:rPr>
        <w:rFonts w:hint="default"/>
        <w:lang w:val="en-US" w:eastAsia="en-US" w:bidi="ar-SA"/>
      </w:rPr>
    </w:lvl>
    <w:lvl w:ilvl="5" w:tplc="045E0DA8">
      <w:numFmt w:val="bullet"/>
      <w:lvlText w:val="•"/>
      <w:lvlJc w:val="left"/>
      <w:pPr>
        <w:ind w:left="5220" w:hanging="360"/>
      </w:pPr>
      <w:rPr>
        <w:rFonts w:hint="default"/>
        <w:lang w:val="en-US" w:eastAsia="en-US" w:bidi="ar-SA"/>
      </w:rPr>
    </w:lvl>
    <w:lvl w:ilvl="6" w:tplc="6CB01FD6">
      <w:numFmt w:val="bullet"/>
      <w:lvlText w:val="•"/>
      <w:lvlJc w:val="left"/>
      <w:pPr>
        <w:ind w:left="6120" w:hanging="360"/>
      </w:pPr>
      <w:rPr>
        <w:rFonts w:hint="default"/>
        <w:lang w:val="en-US" w:eastAsia="en-US" w:bidi="ar-SA"/>
      </w:rPr>
    </w:lvl>
    <w:lvl w:ilvl="7" w:tplc="C1AECAAE">
      <w:numFmt w:val="bullet"/>
      <w:lvlText w:val="•"/>
      <w:lvlJc w:val="left"/>
      <w:pPr>
        <w:ind w:left="7020" w:hanging="360"/>
      </w:pPr>
      <w:rPr>
        <w:rFonts w:hint="default"/>
        <w:lang w:val="en-US" w:eastAsia="en-US" w:bidi="ar-SA"/>
      </w:rPr>
    </w:lvl>
    <w:lvl w:ilvl="8" w:tplc="1C0072AC">
      <w:numFmt w:val="bullet"/>
      <w:lvlText w:val="•"/>
      <w:lvlJc w:val="left"/>
      <w:pPr>
        <w:ind w:left="7920" w:hanging="360"/>
      </w:pPr>
      <w:rPr>
        <w:rFonts w:hint="default"/>
        <w:lang w:val="en-US" w:eastAsia="en-US" w:bidi="ar-SA"/>
      </w:rPr>
    </w:lvl>
  </w:abstractNum>
  <w:abstractNum w:abstractNumId="13" w15:restartNumberingAfterBreak="0">
    <w:nsid w:val="519D3F23"/>
    <w:multiLevelType w:val="hybridMultilevel"/>
    <w:tmpl w:val="30F0C7EC"/>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start w:val="1"/>
      <w:numFmt w:val="bullet"/>
      <w:lvlText w:val=""/>
      <w:lvlJc w:val="left"/>
      <w:pPr>
        <w:ind w:left="4680" w:hanging="360"/>
      </w:pPr>
      <w:rPr>
        <w:rFonts w:hint="default" w:ascii="Wingdings" w:hAnsi="Wingdings"/>
      </w:rPr>
    </w:lvl>
    <w:lvl w:ilvl="6" w:tplc="04090001">
      <w:start w:val="1"/>
      <w:numFmt w:val="bullet"/>
      <w:lvlText w:val=""/>
      <w:lvlJc w:val="left"/>
      <w:pPr>
        <w:ind w:left="5400" w:hanging="360"/>
      </w:pPr>
      <w:rPr>
        <w:rFonts w:hint="default" w:ascii="Symbol" w:hAnsi="Symbol"/>
      </w:rPr>
    </w:lvl>
    <w:lvl w:ilvl="7" w:tplc="04090003">
      <w:start w:val="1"/>
      <w:numFmt w:val="bullet"/>
      <w:lvlText w:val="o"/>
      <w:lvlJc w:val="left"/>
      <w:pPr>
        <w:ind w:left="6120" w:hanging="360"/>
      </w:pPr>
      <w:rPr>
        <w:rFonts w:hint="default" w:ascii="Courier New" w:hAnsi="Courier New" w:cs="Courier New"/>
      </w:rPr>
    </w:lvl>
    <w:lvl w:ilvl="8" w:tplc="04090005">
      <w:start w:val="1"/>
      <w:numFmt w:val="bullet"/>
      <w:lvlText w:val=""/>
      <w:lvlJc w:val="left"/>
      <w:pPr>
        <w:ind w:left="6840" w:hanging="360"/>
      </w:pPr>
      <w:rPr>
        <w:rFonts w:hint="default" w:ascii="Wingdings" w:hAnsi="Wingdings"/>
      </w:rPr>
    </w:lvl>
  </w:abstractNum>
  <w:abstractNum w:abstractNumId="14" w15:restartNumberingAfterBreak="0">
    <w:nsid w:val="522D3E86"/>
    <w:multiLevelType w:val="hybridMultilevel"/>
    <w:tmpl w:val="6A469280"/>
    <w:lvl w:ilvl="0" w:tplc="CB680DB6">
      <w:start w:val="1"/>
      <w:numFmt w:val="upperRoman"/>
      <w:lvlText w:val="%1."/>
      <w:lvlJc w:val="left"/>
      <w:pPr>
        <w:ind w:left="720" w:hanging="720"/>
      </w:pPr>
      <w:rPr>
        <w:rFonts w:hint="default" w:ascii="Times New Roman" w:hAnsi="Times New Roman" w:eastAsia="Times New Roman" w:cs="Times New Roman"/>
        <w:b/>
        <w:bCs/>
        <w:i w:val="0"/>
        <w:iCs w:val="0"/>
        <w:spacing w:val="0"/>
        <w:w w:val="100"/>
        <w:sz w:val="24"/>
        <w:szCs w:val="24"/>
        <w:lang w:val="en-US" w:eastAsia="en-US" w:bidi="ar-SA"/>
      </w:rPr>
    </w:lvl>
    <w:lvl w:ilvl="1" w:tplc="6FCEC9EC">
      <w:start w:val="1"/>
      <w:numFmt w:val="upperLetter"/>
      <w:lvlText w:val="%2."/>
      <w:lvlJc w:val="left"/>
      <w:pPr>
        <w:ind w:left="1440" w:hanging="720"/>
      </w:pPr>
      <w:rPr>
        <w:rFonts w:hint="default" w:ascii="Times New Roman" w:hAnsi="Times New Roman" w:eastAsia="Times New Roman" w:cs="Times New Roman"/>
        <w:b/>
        <w:bCs/>
        <w:i w:val="0"/>
        <w:iCs w:val="0"/>
        <w:spacing w:val="-1"/>
        <w:w w:val="100"/>
        <w:sz w:val="24"/>
        <w:szCs w:val="24"/>
        <w:lang w:val="en-US" w:eastAsia="en-US" w:bidi="ar-SA"/>
      </w:rPr>
    </w:lvl>
    <w:lvl w:ilvl="2" w:tplc="FC281C54">
      <w:start w:val="1"/>
      <w:numFmt w:val="decimal"/>
      <w:lvlText w:val="%3."/>
      <w:lvlJc w:val="left"/>
      <w:pPr>
        <w:ind w:left="2160" w:hanging="720"/>
      </w:pPr>
      <w:rPr>
        <w:rFonts w:hint="default" w:ascii="Times New Roman" w:hAnsi="Times New Roman" w:eastAsia="Times New Roman" w:cs="Times New Roman"/>
        <w:b/>
        <w:bCs/>
        <w:i w:val="0"/>
        <w:iCs w:val="0"/>
        <w:spacing w:val="0"/>
        <w:w w:val="100"/>
        <w:sz w:val="24"/>
        <w:szCs w:val="24"/>
        <w:lang w:val="en-US" w:eastAsia="en-US" w:bidi="ar-SA"/>
      </w:rPr>
    </w:lvl>
    <w:lvl w:ilvl="3" w:tplc="3990D742">
      <w:numFmt w:val="bullet"/>
      <w:lvlText w:val="•"/>
      <w:lvlJc w:val="left"/>
      <w:pPr>
        <w:ind w:left="3105" w:hanging="720"/>
      </w:pPr>
      <w:rPr>
        <w:rFonts w:hint="default"/>
        <w:lang w:val="en-US" w:eastAsia="en-US" w:bidi="ar-SA"/>
      </w:rPr>
    </w:lvl>
    <w:lvl w:ilvl="4" w:tplc="7D023AB8">
      <w:numFmt w:val="bullet"/>
      <w:lvlText w:val="•"/>
      <w:lvlJc w:val="left"/>
      <w:pPr>
        <w:ind w:left="4050" w:hanging="720"/>
      </w:pPr>
      <w:rPr>
        <w:rFonts w:hint="default"/>
        <w:lang w:val="en-US" w:eastAsia="en-US" w:bidi="ar-SA"/>
      </w:rPr>
    </w:lvl>
    <w:lvl w:ilvl="5" w:tplc="1C1E1E12">
      <w:numFmt w:val="bullet"/>
      <w:lvlText w:val="•"/>
      <w:lvlJc w:val="left"/>
      <w:pPr>
        <w:ind w:left="4995" w:hanging="720"/>
      </w:pPr>
      <w:rPr>
        <w:rFonts w:hint="default"/>
        <w:lang w:val="en-US" w:eastAsia="en-US" w:bidi="ar-SA"/>
      </w:rPr>
    </w:lvl>
    <w:lvl w:ilvl="6" w:tplc="EA56858C">
      <w:numFmt w:val="bullet"/>
      <w:lvlText w:val="•"/>
      <w:lvlJc w:val="left"/>
      <w:pPr>
        <w:ind w:left="5940" w:hanging="720"/>
      </w:pPr>
      <w:rPr>
        <w:rFonts w:hint="default"/>
        <w:lang w:val="en-US" w:eastAsia="en-US" w:bidi="ar-SA"/>
      </w:rPr>
    </w:lvl>
    <w:lvl w:ilvl="7" w:tplc="B74C8678">
      <w:numFmt w:val="bullet"/>
      <w:lvlText w:val="•"/>
      <w:lvlJc w:val="left"/>
      <w:pPr>
        <w:ind w:left="6885" w:hanging="720"/>
      </w:pPr>
      <w:rPr>
        <w:rFonts w:hint="default"/>
        <w:lang w:val="en-US" w:eastAsia="en-US" w:bidi="ar-SA"/>
      </w:rPr>
    </w:lvl>
    <w:lvl w:ilvl="8" w:tplc="4DAEA5B8">
      <w:numFmt w:val="bullet"/>
      <w:lvlText w:val="•"/>
      <w:lvlJc w:val="left"/>
      <w:pPr>
        <w:ind w:left="7830" w:hanging="720"/>
      </w:pPr>
      <w:rPr>
        <w:rFonts w:hint="default"/>
        <w:lang w:val="en-US" w:eastAsia="en-US" w:bidi="ar-SA"/>
      </w:rPr>
    </w:lvl>
  </w:abstractNum>
  <w:abstractNum w:abstractNumId="15" w15:restartNumberingAfterBreak="0">
    <w:nsid w:val="57E40845"/>
    <w:multiLevelType w:val="hybridMultilevel"/>
    <w:tmpl w:val="D9A6648C"/>
    <w:lvl w:ilvl="0" w:tplc="52420A0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BF92E14"/>
    <w:multiLevelType w:val="hybridMultilevel"/>
    <w:tmpl w:val="BFCA4D78"/>
    <w:lvl w:ilvl="0" w:tplc="7ED662A8">
      <w:numFmt w:val="bullet"/>
      <w:lvlText w:val=""/>
      <w:lvlJc w:val="left"/>
      <w:pPr>
        <w:ind w:left="720" w:hanging="360"/>
      </w:pPr>
      <w:rPr>
        <w:rFonts w:hint="default" w:ascii="Symbol" w:hAnsi="Symbol" w:eastAsia="Symbol" w:cs="Symbol"/>
        <w:b w:val="0"/>
        <w:bCs w:val="0"/>
        <w:i w:val="0"/>
        <w:iCs w:val="0"/>
        <w:spacing w:val="0"/>
        <w:w w:val="100"/>
        <w:sz w:val="24"/>
        <w:szCs w:val="24"/>
        <w:lang w:val="en-US" w:eastAsia="en-US" w:bidi="ar-SA"/>
      </w:rPr>
    </w:lvl>
    <w:lvl w:ilvl="1" w:tplc="358C9D32">
      <w:numFmt w:val="bullet"/>
      <w:lvlText w:val="•"/>
      <w:lvlJc w:val="left"/>
      <w:pPr>
        <w:ind w:left="1620" w:hanging="360"/>
      </w:pPr>
      <w:rPr>
        <w:rFonts w:hint="default"/>
        <w:lang w:val="en-US" w:eastAsia="en-US" w:bidi="ar-SA"/>
      </w:rPr>
    </w:lvl>
    <w:lvl w:ilvl="2" w:tplc="084CB2F2">
      <w:numFmt w:val="bullet"/>
      <w:lvlText w:val="•"/>
      <w:lvlJc w:val="left"/>
      <w:pPr>
        <w:ind w:left="2520" w:hanging="360"/>
      </w:pPr>
      <w:rPr>
        <w:rFonts w:hint="default"/>
        <w:lang w:val="en-US" w:eastAsia="en-US" w:bidi="ar-SA"/>
      </w:rPr>
    </w:lvl>
    <w:lvl w:ilvl="3" w:tplc="9AA2AFEC">
      <w:numFmt w:val="bullet"/>
      <w:lvlText w:val="•"/>
      <w:lvlJc w:val="left"/>
      <w:pPr>
        <w:ind w:left="3420" w:hanging="360"/>
      </w:pPr>
      <w:rPr>
        <w:rFonts w:hint="default"/>
        <w:lang w:val="en-US" w:eastAsia="en-US" w:bidi="ar-SA"/>
      </w:rPr>
    </w:lvl>
    <w:lvl w:ilvl="4" w:tplc="A2AE88F2">
      <w:numFmt w:val="bullet"/>
      <w:lvlText w:val="•"/>
      <w:lvlJc w:val="left"/>
      <w:pPr>
        <w:ind w:left="4320" w:hanging="360"/>
      </w:pPr>
      <w:rPr>
        <w:rFonts w:hint="default"/>
        <w:lang w:val="en-US" w:eastAsia="en-US" w:bidi="ar-SA"/>
      </w:rPr>
    </w:lvl>
    <w:lvl w:ilvl="5" w:tplc="23221C76">
      <w:numFmt w:val="bullet"/>
      <w:lvlText w:val="•"/>
      <w:lvlJc w:val="left"/>
      <w:pPr>
        <w:ind w:left="5220" w:hanging="360"/>
      </w:pPr>
      <w:rPr>
        <w:rFonts w:hint="default"/>
        <w:lang w:val="en-US" w:eastAsia="en-US" w:bidi="ar-SA"/>
      </w:rPr>
    </w:lvl>
    <w:lvl w:ilvl="6" w:tplc="44B2D1AE">
      <w:numFmt w:val="bullet"/>
      <w:lvlText w:val="•"/>
      <w:lvlJc w:val="left"/>
      <w:pPr>
        <w:ind w:left="6120" w:hanging="360"/>
      </w:pPr>
      <w:rPr>
        <w:rFonts w:hint="default"/>
        <w:lang w:val="en-US" w:eastAsia="en-US" w:bidi="ar-SA"/>
      </w:rPr>
    </w:lvl>
    <w:lvl w:ilvl="7" w:tplc="80EA2D0E">
      <w:numFmt w:val="bullet"/>
      <w:lvlText w:val="•"/>
      <w:lvlJc w:val="left"/>
      <w:pPr>
        <w:ind w:left="7020" w:hanging="360"/>
      </w:pPr>
      <w:rPr>
        <w:rFonts w:hint="default"/>
        <w:lang w:val="en-US" w:eastAsia="en-US" w:bidi="ar-SA"/>
      </w:rPr>
    </w:lvl>
    <w:lvl w:ilvl="8" w:tplc="F7FC0F2A">
      <w:numFmt w:val="bullet"/>
      <w:lvlText w:val="•"/>
      <w:lvlJc w:val="left"/>
      <w:pPr>
        <w:ind w:left="7920" w:hanging="360"/>
      </w:pPr>
      <w:rPr>
        <w:rFonts w:hint="default"/>
        <w:lang w:val="en-US" w:eastAsia="en-US" w:bidi="ar-SA"/>
      </w:rPr>
    </w:lvl>
  </w:abstractNum>
  <w:abstractNum w:abstractNumId="17" w15:restartNumberingAfterBreak="0">
    <w:nsid w:val="67F9154B"/>
    <w:multiLevelType w:val="hybridMultilevel"/>
    <w:tmpl w:val="DBBA232C"/>
    <w:lvl w:ilvl="0" w:tplc="0352A8B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BAE4463"/>
    <w:multiLevelType w:val="hybridMultilevel"/>
    <w:tmpl w:val="B89232B2"/>
    <w:lvl w:ilvl="0" w:tplc="6FCEC9EC">
      <w:start w:val="1"/>
      <w:numFmt w:val="upperLetter"/>
      <w:lvlText w:val="%1."/>
      <w:lvlJc w:val="left"/>
      <w:pPr>
        <w:ind w:left="1440" w:hanging="720"/>
      </w:pPr>
      <w:rPr>
        <w:rFonts w:hint="default" w:ascii="Times New Roman" w:hAnsi="Times New Roman" w:eastAsia="Times New Roman" w:cs="Times New Roman"/>
        <w:b/>
        <w:bCs/>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E758C4"/>
    <w:multiLevelType w:val="hybridMultilevel"/>
    <w:tmpl w:val="43742268"/>
    <w:lvl w:ilvl="0" w:tplc="6FCEC9EC">
      <w:start w:val="1"/>
      <w:numFmt w:val="upperLetter"/>
      <w:lvlText w:val="%1."/>
      <w:lvlJc w:val="left"/>
      <w:pPr>
        <w:ind w:left="1800" w:hanging="720"/>
      </w:pPr>
      <w:rPr>
        <w:rFonts w:hint="default" w:ascii="Times New Roman" w:hAnsi="Times New Roman" w:eastAsia="Times New Roman" w:cs="Times New Roman"/>
        <w:b/>
        <w:bCs/>
        <w:i w:val="0"/>
        <w:iCs w:val="0"/>
        <w:spacing w:val="-1"/>
        <w:w w:val="100"/>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8900C91"/>
    <w:multiLevelType w:val="hybridMultilevel"/>
    <w:tmpl w:val="7A98B79C"/>
    <w:lvl w:ilvl="0" w:tplc="6FCEC9EC">
      <w:start w:val="1"/>
      <w:numFmt w:val="upperLetter"/>
      <w:lvlText w:val="%1."/>
      <w:lvlJc w:val="left"/>
      <w:pPr>
        <w:ind w:left="1440" w:hanging="720"/>
      </w:pPr>
      <w:rPr>
        <w:rFonts w:hint="default" w:ascii="Times New Roman" w:hAnsi="Times New Roman" w:eastAsia="Times New Roman" w:cs="Times New Roman"/>
        <w:b/>
        <w:bCs/>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5342A"/>
    <w:multiLevelType w:val="hybridMultilevel"/>
    <w:tmpl w:val="DEA4EC96"/>
    <w:lvl w:ilvl="0" w:tplc="04090001">
      <w:start w:val="1"/>
      <w:numFmt w:val="bullet"/>
      <w:lvlText w:val=""/>
      <w:lvlJc w:val="left"/>
      <w:pPr>
        <w:ind w:left="1439" w:hanging="360"/>
      </w:pPr>
      <w:rPr>
        <w:rFonts w:hint="default" w:ascii="Symbol" w:hAnsi="Symbol"/>
      </w:rPr>
    </w:lvl>
    <w:lvl w:ilvl="1" w:tplc="04090003" w:tentative="1">
      <w:start w:val="1"/>
      <w:numFmt w:val="bullet"/>
      <w:lvlText w:val="o"/>
      <w:lvlJc w:val="left"/>
      <w:pPr>
        <w:ind w:left="2159" w:hanging="360"/>
      </w:pPr>
      <w:rPr>
        <w:rFonts w:hint="default" w:ascii="Courier New" w:hAnsi="Courier New" w:cs="Courier New"/>
      </w:rPr>
    </w:lvl>
    <w:lvl w:ilvl="2" w:tplc="04090005" w:tentative="1">
      <w:start w:val="1"/>
      <w:numFmt w:val="bullet"/>
      <w:lvlText w:val=""/>
      <w:lvlJc w:val="left"/>
      <w:pPr>
        <w:ind w:left="2879" w:hanging="360"/>
      </w:pPr>
      <w:rPr>
        <w:rFonts w:hint="default" w:ascii="Wingdings" w:hAnsi="Wingdings"/>
      </w:rPr>
    </w:lvl>
    <w:lvl w:ilvl="3" w:tplc="04090001" w:tentative="1">
      <w:start w:val="1"/>
      <w:numFmt w:val="bullet"/>
      <w:lvlText w:val=""/>
      <w:lvlJc w:val="left"/>
      <w:pPr>
        <w:ind w:left="3599" w:hanging="360"/>
      </w:pPr>
      <w:rPr>
        <w:rFonts w:hint="default" w:ascii="Symbol" w:hAnsi="Symbol"/>
      </w:rPr>
    </w:lvl>
    <w:lvl w:ilvl="4" w:tplc="04090003" w:tentative="1">
      <w:start w:val="1"/>
      <w:numFmt w:val="bullet"/>
      <w:lvlText w:val="o"/>
      <w:lvlJc w:val="left"/>
      <w:pPr>
        <w:ind w:left="4319" w:hanging="360"/>
      </w:pPr>
      <w:rPr>
        <w:rFonts w:hint="default" w:ascii="Courier New" w:hAnsi="Courier New" w:cs="Courier New"/>
      </w:rPr>
    </w:lvl>
    <w:lvl w:ilvl="5" w:tplc="04090005" w:tentative="1">
      <w:start w:val="1"/>
      <w:numFmt w:val="bullet"/>
      <w:lvlText w:val=""/>
      <w:lvlJc w:val="left"/>
      <w:pPr>
        <w:ind w:left="5039" w:hanging="360"/>
      </w:pPr>
      <w:rPr>
        <w:rFonts w:hint="default" w:ascii="Wingdings" w:hAnsi="Wingdings"/>
      </w:rPr>
    </w:lvl>
    <w:lvl w:ilvl="6" w:tplc="04090001" w:tentative="1">
      <w:start w:val="1"/>
      <w:numFmt w:val="bullet"/>
      <w:lvlText w:val=""/>
      <w:lvlJc w:val="left"/>
      <w:pPr>
        <w:ind w:left="5759" w:hanging="360"/>
      </w:pPr>
      <w:rPr>
        <w:rFonts w:hint="default" w:ascii="Symbol" w:hAnsi="Symbol"/>
      </w:rPr>
    </w:lvl>
    <w:lvl w:ilvl="7" w:tplc="04090003" w:tentative="1">
      <w:start w:val="1"/>
      <w:numFmt w:val="bullet"/>
      <w:lvlText w:val="o"/>
      <w:lvlJc w:val="left"/>
      <w:pPr>
        <w:ind w:left="6479" w:hanging="360"/>
      </w:pPr>
      <w:rPr>
        <w:rFonts w:hint="default" w:ascii="Courier New" w:hAnsi="Courier New" w:cs="Courier New"/>
      </w:rPr>
    </w:lvl>
    <w:lvl w:ilvl="8" w:tplc="04090005" w:tentative="1">
      <w:start w:val="1"/>
      <w:numFmt w:val="bullet"/>
      <w:lvlText w:val=""/>
      <w:lvlJc w:val="left"/>
      <w:pPr>
        <w:ind w:left="7199" w:hanging="360"/>
      </w:pPr>
      <w:rPr>
        <w:rFonts w:hint="default" w:ascii="Wingdings" w:hAnsi="Wingdings"/>
      </w:rPr>
    </w:lvl>
  </w:abstractNum>
  <w:abstractNum w:abstractNumId="22" w15:restartNumberingAfterBreak="0">
    <w:nsid w:val="7D1B3936"/>
    <w:multiLevelType w:val="hybridMultilevel"/>
    <w:tmpl w:val="A05E9E90"/>
    <w:lvl w:ilvl="0" w:tplc="43D83A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7B7D76"/>
    <w:multiLevelType w:val="hybridMultilevel"/>
    <w:tmpl w:val="EB8E57BA"/>
    <w:lvl w:ilvl="0" w:tplc="E7181502">
      <w:start w:val="1"/>
      <w:numFmt w:val="upperRoman"/>
      <w:lvlText w:val="%1."/>
      <w:lvlJc w:val="left"/>
      <w:pPr>
        <w:ind w:left="1080" w:hanging="720"/>
      </w:pPr>
      <w:rPr>
        <w:rFonts w:hint="default" w:ascii="Times New Roman" w:hAnsi="Times New Roman" w:eastAsia="Times New Roman" w:cs="Times New Roman"/>
        <w:b/>
        <w:bCs/>
        <w:i w:val="0"/>
        <w:iCs w:val="0"/>
        <w:spacing w:val="0"/>
        <w:w w:val="100"/>
        <w:sz w:val="24"/>
        <w:szCs w:val="24"/>
        <w:lang w:val="en-US" w:eastAsia="en-US" w:bidi="ar-SA"/>
      </w:rPr>
    </w:lvl>
    <w:lvl w:ilvl="1" w:tplc="392A7E8E">
      <w:start w:val="1"/>
      <w:numFmt w:val="upperLetter"/>
      <w:lvlText w:val="%2."/>
      <w:lvlJc w:val="left"/>
      <w:pPr>
        <w:ind w:left="1800" w:hanging="720"/>
      </w:pPr>
      <w:rPr>
        <w:rFonts w:hint="default" w:ascii="Times New Roman" w:hAnsi="Times New Roman" w:eastAsia="Times New Roman" w:cs="Times New Roman"/>
        <w:b/>
        <w:bCs/>
        <w:i w:val="0"/>
        <w:iCs w:val="0"/>
        <w:spacing w:val="-1"/>
        <w:w w:val="100"/>
        <w:sz w:val="24"/>
        <w:szCs w:val="24"/>
        <w:lang w:val="en-US" w:eastAsia="en-US" w:bidi="ar-SA"/>
      </w:rPr>
    </w:lvl>
    <w:lvl w:ilvl="2" w:tplc="80B66ADE">
      <w:start w:val="1"/>
      <w:numFmt w:val="decimal"/>
      <w:lvlText w:val="%3."/>
      <w:lvlJc w:val="left"/>
      <w:pPr>
        <w:ind w:left="1800" w:hanging="360"/>
      </w:pPr>
      <w:rPr>
        <w:rFonts w:hint="default" w:ascii="Times New Roman" w:hAnsi="Times New Roman" w:eastAsia="Times New Roman" w:cs="Times New Roman"/>
        <w:b/>
        <w:bCs/>
        <w:i w:val="0"/>
        <w:iCs w:val="0"/>
        <w:spacing w:val="0"/>
        <w:w w:val="100"/>
        <w:sz w:val="24"/>
        <w:szCs w:val="24"/>
        <w:lang w:val="en-US" w:eastAsia="en-US" w:bidi="ar-SA"/>
      </w:rPr>
    </w:lvl>
    <w:lvl w:ilvl="3" w:tplc="2CA41D0C">
      <w:start w:val="1"/>
      <w:numFmt w:val="lowerLetter"/>
      <w:lvlText w:val="%4."/>
      <w:lvlJc w:val="left"/>
      <w:pPr>
        <w:ind w:left="2160" w:hanging="360"/>
      </w:pPr>
      <w:rPr>
        <w:rFonts w:hint="default" w:ascii="Times New Roman" w:hAnsi="Times New Roman" w:eastAsia="Times New Roman" w:cs="Times New Roman"/>
        <w:b/>
        <w:bCs/>
        <w:i w:val="0"/>
        <w:iCs w:val="0"/>
        <w:spacing w:val="0"/>
        <w:w w:val="100"/>
        <w:sz w:val="24"/>
        <w:szCs w:val="24"/>
        <w:lang w:val="en-US" w:eastAsia="en-US" w:bidi="ar-SA"/>
      </w:rPr>
    </w:lvl>
    <w:lvl w:ilvl="4" w:tplc="A22E3B7A">
      <w:numFmt w:val="bullet"/>
      <w:lvlText w:val="•"/>
      <w:lvlJc w:val="left"/>
      <w:pPr>
        <w:ind w:left="4140" w:hanging="360"/>
      </w:pPr>
      <w:rPr>
        <w:rFonts w:hint="default"/>
        <w:lang w:val="en-US" w:eastAsia="en-US" w:bidi="ar-SA"/>
      </w:rPr>
    </w:lvl>
    <w:lvl w:ilvl="5" w:tplc="19D42BD4">
      <w:numFmt w:val="bullet"/>
      <w:lvlText w:val="•"/>
      <w:lvlJc w:val="left"/>
      <w:pPr>
        <w:ind w:left="5130" w:hanging="360"/>
      </w:pPr>
      <w:rPr>
        <w:rFonts w:hint="default"/>
        <w:lang w:val="en-US" w:eastAsia="en-US" w:bidi="ar-SA"/>
      </w:rPr>
    </w:lvl>
    <w:lvl w:ilvl="6" w:tplc="E19EEF0C">
      <w:numFmt w:val="bullet"/>
      <w:lvlText w:val="•"/>
      <w:lvlJc w:val="left"/>
      <w:pPr>
        <w:ind w:left="6120" w:hanging="360"/>
      </w:pPr>
      <w:rPr>
        <w:rFonts w:hint="default"/>
        <w:lang w:val="en-US" w:eastAsia="en-US" w:bidi="ar-SA"/>
      </w:rPr>
    </w:lvl>
    <w:lvl w:ilvl="7" w:tplc="5E86D07C">
      <w:numFmt w:val="bullet"/>
      <w:lvlText w:val="•"/>
      <w:lvlJc w:val="left"/>
      <w:pPr>
        <w:ind w:left="7110" w:hanging="360"/>
      </w:pPr>
      <w:rPr>
        <w:rFonts w:hint="default"/>
        <w:lang w:val="en-US" w:eastAsia="en-US" w:bidi="ar-SA"/>
      </w:rPr>
    </w:lvl>
    <w:lvl w:ilvl="8" w:tplc="D5C43C42">
      <w:numFmt w:val="bullet"/>
      <w:lvlText w:val="•"/>
      <w:lvlJc w:val="left"/>
      <w:pPr>
        <w:ind w:left="8100" w:hanging="360"/>
      </w:pPr>
      <w:rPr>
        <w:rFonts w:hint="default"/>
        <w:lang w:val="en-US" w:eastAsia="en-US" w:bidi="ar-SA"/>
      </w:rPr>
    </w:lvl>
  </w:abstractNum>
  <w:num w:numId="1" w16cid:durableId="1643386084">
    <w:abstractNumId w:val="11"/>
  </w:num>
  <w:num w:numId="2" w16cid:durableId="687484926">
    <w:abstractNumId w:val="0"/>
  </w:num>
  <w:num w:numId="3" w16cid:durableId="540437507">
    <w:abstractNumId w:val="17"/>
  </w:num>
  <w:num w:numId="4" w16cid:durableId="1111824889">
    <w:abstractNumId w:val="22"/>
  </w:num>
  <w:num w:numId="5" w16cid:durableId="1567184870">
    <w:abstractNumId w:val="14"/>
  </w:num>
  <w:num w:numId="6" w16cid:durableId="853882735">
    <w:abstractNumId w:val="12"/>
  </w:num>
  <w:num w:numId="7" w16cid:durableId="1828521687">
    <w:abstractNumId w:val="2"/>
  </w:num>
  <w:num w:numId="8" w16cid:durableId="706030112">
    <w:abstractNumId w:val="4"/>
  </w:num>
  <w:num w:numId="9" w16cid:durableId="1582135586">
    <w:abstractNumId w:val="18"/>
  </w:num>
  <w:num w:numId="10" w16cid:durableId="489292640">
    <w:abstractNumId w:val="10"/>
  </w:num>
  <w:num w:numId="11" w16cid:durableId="790052978">
    <w:abstractNumId w:val="5"/>
  </w:num>
  <w:num w:numId="12" w16cid:durableId="596406585">
    <w:abstractNumId w:val="19"/>
  </w:num>
  <w:num w:numId="13" w16cid:durableId="1477181576">
    <w:abstractNumId w:val="1"/>
  </w:num>
  <w:num w:numId="14" w16cid:durableId="387261317">
    <w:abstractNumId w:val="16"/>
  </w:num>
  <w:num w:numId="15" w16cid:durableId="1276793665">
    <w:abstractNumId w:val="15"/>
  </w:num>
  <w:num w:numId="16" w16cid:durableId="1392078877">
    <w:abstractNumId w:val="23"/>
  </w:num>
  <w:num w:numId="17" w16cid:durableId="1020542582">
    <w:abstractNumId w:val="8"/>
  </w:num>
  <w:num w:numId="18" w16cid:durableId="1356614934">
    <w:abstractNumId w:val="20"/>
  </w:num>
  <w:num w:numId="19" w16cid:durableId="1477913355">
    <w:abstractNumId w:val="3"/>
  </w:num>
  <w:num w:numId="20" w16cid:durableId="1127771897">
    <w:abstractNumId w:val="6"/>
  </w:num>
  <w:num w:numId="21" w16cid:durableId="655719451">
    <w:abstractNumId w:val="21"/>
  </w:num>
  <w:num w:numId="22" w16cid:durableId="1545674070">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23" w16cid:durableId="579606422">
    <w:abstractNumId w:val="13"/>
  </w:num>
  <w:num w:numId="24" w16cid:durableId="1770395142">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mailMerge>
    <w:mainDocumentType w:val="formLetters"/>
    <w:dataType w:val="textFile"/>
    <w:activeRecord w:val="-1"/>
    <w:odso/>
  </w:mailMerge>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8FD"/>
    <w:rsid w:val="00002FBD"/>
    <w:rsid w:val="00004062"/>
    <w:rsid w:val="00016850"/>
    <w:rsid w:val="000201D3"/>
    <w:rsid w:val="00021D3B"/>
    <w:rsid w:val="00022470"/>
    <w:rsid w:val="000318E8"/>
    <w:rsid w:val="0004171B"/>
    <w:rsid w:val="00042190"/>
    <w:rsid w:val="00045C8D"/>
    <w:rsid w:val="00054641"/>
    <w:rsid w:val="00054C44"/>
    <w:rsid w:val="00056707"/>
    <w:rsid w:val="00062CD2"/>
    <w:rsid w:val="0006454D"/>
    <w:rsid w:val="00073873"/>
    <w:rsid w:val="0007480C"/>
    <w:rsid w:val="000822EA"/>
    <w:rsid w:val="0009115E"/>
    <w:rsid w:val="00095B63"/>
    <w:rsid w:val="00096FE2"/>
    <w:rsid w:val="0009716A"/>
    <w:rsid w:val="000A3B10"/>
    <w:rsid w:val="000A4A32"/>
    <w:rsid w:val="000A74FB"/>
    <w:rsid w:val="000C4732"/>
    <w:rsid w:val="000D0F2B"/>
    <w:rsid w:val="000D14F2"/>
    <w:rsid w:val="000D1D3D"/>
    <w:rsid w:val="000D5EA3"/>
    <w:rsid w:val="000D7EAC"/>
    <w:rsid w:val="000E2452"/>
    <w:rsid w:val="000E3BE0"/>
    <w:rsid w:val="000E5628"/>
    <w:rsid w:val="000E7B3A"/>
    <w:rsid w:val="000F1103"/>
    <w:rsid w:val="00100410"/>
    <w:rsid w:val="00100961"/>
    <w:rsid w:val="0010120B"/>
    <w:rsid w:val="0010290B"/>
    <w:rsid w:val="00102A5D"/>
    <w:rsid w:val="00106668"/>
    <w:rsid w:val="00114A75"/>
    <w:rsid w:val="00117A9F"/>
    <w:rsid w:val="00123040"/>
    <w:rsid w:val="001239C0"/>
    <w:rsid w:val="00125A01"/>
    <w:rsid w:val="00125F42"/>
    <w:rsid w:val="00126D94"/>
    <w:rsid w:val="00127592"/>
    <w:rsid w:val="00130958"/>
    <w:rsid w:val="001340BD"/>
    <w:rsid w:val="00135F99"/>
    <w:rsid w:val="00142316"/>
    <w:rsid w:val="001447C0"/>
    <w:rsid w:val="001479AA"/>
    <w:rsid w:val="00151432"/>
    <w:rsid w:val="00161308"/>
    <w:rsid w:val="00161803"/>
    <w:rsid w:val="00171864"/>
    <w:rsid w:val="0017277F"/>
    <w:rsid w:val="0017289C"/>
    <w:rsid w:val="001753EC"/>
    <w:rsid w:val="0017683F"/>
    <w:rsid w:val="00180E8B"/>
    <w:rsid w:val="001814F3"/>
    <w:rsid w:val="0018153E"/>
    <w:rsid w:val="001857A2"/>
    <w:rsid w:val="0018639A"/>
    <w:rsid w:val="001869CB"/>
    <w:rsid w:val="001909FC"/>
    <w:rsid w:val="00196CAF"/>
    <w:rsid w:val="001977C8"/>
    <w:rsid w:val="00197FC1"/>
    <w:rsid w:val="001A35E0"/>
    <w:rsid w:val="001A5713"/>
    <w:rsid w:val="001A7519"/>
    <w:rsid w:val="001B2CE1"/>
    <w:rsid w:val="001B427D"/>
    <w:rsid w:val="001B52FC"/>
    <w:rsid w:val="001C54D0"/>
    <w:rsid w:val="001C61D5"/>
    <w:rsid w:val="001C75BF"/>
    <w:rsid w:val="001C7F3D"/>
    <w:rsid w:val="001D0EC9"/>
    <w:rsid w:val="001D725A"/>
    <w:rsid w:val="001D72EE"/>
    <w:rsid w:val="001D766F"/>
    <w:rsid w:val="001E098E"/>
    <w:rsid w:val="001E46C8"/>
    <w:rsid w:val="001E4A2F"/>
    <w:rsid w:val="001E5C9D"/>
    <w:rsid w:val="001F124E"/>
    <w:rsid w:val="001F5FD6"/>
    <w:rsid w:val="00200591"/>
    <w:rsid w:val="00203E8E"/>
    <w:rsid w:val="002042DE"/>
    <w:rsid w:val="00206B7B"/>
    <w:rsid w:val="00206D3A"/>
    <w:rsid w:val="00210432"/>
    <w:rsid w:val="00210B3F"/>
    <w:rsid w:val="00212A1E"/>
    <w:rsid w:val="00213D3E"/>
    <w:rsid w:val="00214A9A"/>
    <w:rsid w:val="00216156"/>
    <w:rsid w:val="00216324"/>
    <w:rsid w:val="00216602"/>
    <w:rsid w:val="00222E5F"/>
    <w:rsid w:val="00231642"/>
    <w:rsid w:val="00231E67"/>
    <w:rsid w:val="00233097"/>
    <w:rsid w:val="00236377"/>
    <w:rsid w:val="00236DF9"/>
    <w:rsid w:val="00243352"/>
    <w:rsid w:val="002434A5"/>
    <w:rsid w:val="00250A08"/>
    <w:rsid w:val="00250E26"/>
    <w:rsid w:val="002532E6"/>
    <w:rsid w:val="00253641"/>
    <w:rsid w:val="002543EE"/>
    <w:rsid w:val="00254B99"/>
    <w:rsid w:val="00255384"/>
    <w:rsid w:val="002620B6"/>
    <w:rsid w:val="00262601"/>
    <w:rsid w:val="00270396"/>
    <w:rsid w:val="002723AD"/>
    <w:rsid w:val="00276FFB"/>
    <w:rsid w:val="00281095"/>
    <w:rsid w:val="00285873"/>
    <w:rsid w:val="002866D9"/>
    <w:rsid w:val="00287F65"/>
    <w:rsid w:val="00290DE8"/>
    <w:rsid w:val="00292B16"/>
    <w:rsid w:val="00292B6F"/>
    <w:rsid w:val="00294E78"/>
    <w:rsid w:val="0029631E"/>
    <w:rsid w:val="002965A7"/>
    <w:rsid w:val="002A2155"/>
    <w:rsid w:val="002A4EB1"/>
    <w:rsid w:val="002B70CF"/>
    <w:rsid w:val="002B7CE7"/>
    <w:rsid w:val="002C2239"/>
    <w:rsid w:val="002C6F1B"/>
    <w:rsid w:val="002C7E30"/>
    <w:rsid w:val="002D12C3"/>
    <w:rsid w:val="002D608D"/>
    <w:rsid w:val="002D6BCE"/>
    <w:rsid w:val="002E0463"/>
    <w:rsid w:val="002E488D"/>
    <w:rsid w:val="002E5D1C"/>
    <w:rsid w:val="002E7A64"/>
    <w:rsid w:val="002F1437"/>
    <w:rsid w:val="002F195B"/>
    <w:rsid w:val="002F744B"/>
    <w:rsid w:val="003009C9"/>
    <w:rsid w:val="00302B20"/>
    <w:rsid w:val="00315416"/>
    <w:rsid w:val="00315823"/>
    <w:rsid w:val="0032030F"/>
    <w:rsid w:val="00327565"/>
    <w:rsid w:val="00327B7E"/>
    <w:rsid w:val="003471B1"/>
    <w:rsid w:val="00350CC9"/>
    <w:rsid w:val="00351911"/>
    <w:rsid w:val="0036014B"/>
    <w:rsid w:val="00366E7F"/>
    <w:rsid w:val="00370891"/>
    <w:rsid w:val="003731E4"/>
    <w:rsid w:val="00374945"/>
    <w:rsid w:val="003750AD"/>
    <w:rsid w:val="00376ED8"/>
    <w:rsid w:val="00384259"/>
    <w:rsid w:val="00386392"/>
    <w:rsid w:val="0038704D"/>
    <w:rsid w:val="00394E22"/>
    <w:rsid w:val="00396008"/>
    <w:rsid w:val="00396945"/>
    <w:rsid w:val="003A41F6"/>
    <w:rsid w:val="003A47B4"/>
    <w:rsid w:val="003A69F4"/>
    <w:rsid w:val="003B36E2"/>
    <w:rsid w:val="003B65E4"/>
    <w:rsid w:val="003C5FD0"/>
    <w:rsid w:val="003C651E"/>
    <w:rsid w:val="003D0300"/>
    <w:rsid w:val="003E0B9F"/>
    <w:rsid w:val="003E20DF"/>
    <w:rsid w:val="003E6EFE"/>
    <w:rsid w:val="003F01B1"/>
    <w:rsid w:val="003F24DD"/>
    <w:rsid w:val="003F4B04"/>
    <w:rsid w:val="00400412"/>
    <w:rsid w:val="00400B5A"/>
    <w:rsid w:val="00401BFF"/>
    <w:rsid w:val="00404B35"/>
    <w:rsid w:val="004057FF"/>
    <w:rsid w:val="0040722B"/>
    <w:rsid w:val="004119EE"/>
    <w:rsid w:val="00413556"/>
    <w:rsid w:val="00415F2F"/>
    <w:rsid w:val="0042079F"/>
    <w:rsid w:val="00420E66"/>
    <w:rsid w:val="0042546D"/>
    <w:rsid w:val="00427473"/>
    <w:rsid w:val="00430656"/>
    <w:rsid w:val="00433436"/>
    <w:rsid w:val="00433C9F"/>
    <w:rsid w:val="00434790"/>
    <w:rsid w:val="00436EDA"/>
    <w:rsid w:val="00437A5F"/>
    <w:rsid w:val="004418AA"/>
    <w:rsid w:val="004434CD"/>
    <w:rsid w:val="004452CD"/>
    <w:rsid w:val="00447143"/>
    <w:rsid w:val="00460DE7"/>
    <w:rsid w:val="00461159"/>
    <w:rsid w:val="00465003"/>
    <w:rsid w:val="004652EF"/>
    <w:rsid w:val="0046648B"/>
    <w:rsid w:val="0047194C"/>
    <w:rsid w:val="00471BAE"/>
    <w:rsid w:val="00472B53"/>
    <w:rsid w:val="00473B6F"/>
    <w:rsid w:val="00475987"/>
    <w:rsid w:val="004805B9"/>
    <w:rsid w:val="00484D9F"/>
    <w:rsid w:val="004869C3"/>
    <w:rsid w:val="00490D65"/>
    <w:rsid w:val="00492733"/>
    <w:rsid w:val="0049557F"/>
    <w:rsid w:val="00497117"/>
    <w:rsid w:val="004A2D9A"/>
    <w:rsid w:val="004A69CA"/>
    <w:rsid w:val="004B12AA"/>
    <w:rsid w:val="004C62CD"/>
    <w:rsid w:val="004D4466"/>
    <w:rsid w:val="004D7072"/>
    <w:rsid w:val="004D7320"/>
    <w:rsid w:val="004E138C"/>
    <w:rsid w:val="004E29C1"/>
    <w:rsid w:val="004E5176"/>
    <w:rsid w:val="004E6A1D"/>
    <w:rsid w:val="004F56FD"/>
    <w:rsid w:val="004F5873"/>
    <w:rsid w:val="004F6430"/>
    <w:rsid w:val="004F7545"/>
    <w:rsid w:val="004F7A24"/>
    <w:rsid w:val="0050138C"/>
    <w:rsid w:val="00501EB8"/>
    <w:rsid w:val="0050613A"/>
    <w:rsid w:val="0051199D"/>
    <w:rsid w:val="00511C2D"/>
    <w:rsid w:val="005124BE"/>
    <w:rsid w:val="005134F0"/>
    <w:rsid w:val="00513B42"/>
    <w:rsid w:val="00515485"/>
    <w:rsid w:val="005217CC"/>
    <w:rsid w:val="0052407B"/>
    <w:rsid w:val="005249ED"/>
    <w:rsid w:val="005259F0"/>
    <w:rsid w:val="0053049F"/>
    <w:rsid w:val="0053285D"/>
    <w:rsid w:val="00534104"/>
    <w:rsid w:val="00550786"/>
    <w:rsid w:val="00552E22"/>
    <w:rsid w:val="005534A6"/>
    <w:rsid w:val="005608D6"/>
    <w:rsid w:val="00560EA7"/>
    <w:rsid w:val="00566575"/>
    <w:rsid w:val="005703AD"/>
    <w:rsid w:val="00575837"/>
    <w:rsid w:val="00576A48"/>
    <w:rsid w:val="005779F8"/>
    <w:rsid w:val="00581E2A"/>
    <w:rsid w:val="005826E8"/>
    <w:rsid w:val="00583801"/>
    <w:rsid w:val="005961B3"/>
    <w:rsid w:val="00596860"/>
    <w:rsid w:val="005A2058"/>
    <w:rsid w:val="005A4A40"/>
    <w:rsid w:val="005A68FD"/>
    <w:rsid w:val="005B1D0B"/>
    <w:rsid w:val="005B2DCD"/>
    <w:rsid w:val="005B4699"/>
    <w:rsid w:val="005B4C71"/>
    <w:rsid w:val="005B773D"/>
    <w:rsid w:val="005B7F54"/>
    <w:rsid w:val="005C258B"/>
    <w:rsid w:val="005C29CF"/>
    <w:rsid w:val="005C4540"/>
    <w:rsid w:val="005C5400"/>
    <w:rsid w:val="005C7604"/>
    <w:rsid w:val="005C7D52"/>
    <w:rsid w:val="005D0BD5"/>
    <w:rsid w:val="005D136E"/>
    <w:rsid w:val="005D2125"/>
    <w:rsid w:val="005D2EC7"/>
    <w:rsid w:val="005D6237"/>
    <w:rsid w:val="005E2D62"/>
    <w:rsid w:val="005E54C7"/>
    <w:rsid w:val="005F0DE8"/>
    <w:rsid w:val="005F3631"/>
    <w:rsid w:val="0060137C"/>
    <w:rsid w:val="0061073A"/>
    <w:rsid w:val="006138A4"/>
    <w:rsid w:val="0061473F"/>
    <w:rsid w:val="006155C0"/>
    <w:rsid w:val="00616F5F"/>
    <w:rsid w:val="00621A23"/>
    <w:rsid w:val="006229DF"/>
    <w:rsid w:val="00633037"/>
    <w:rsid w:val="00634A70"/>
    <w:rsid w:val="006401C8"/>
    <w:rsid w:val="00641E30"/>
    <w:rsid w:val="00647C39"/>
    <w:rsid w:val="0065358B"/>
    <w:rsid w:val="00656399"/>
    <w:rsid w:val="00663866"/>
    <w:rsid w:val="006717DC"/>
    <w:rsid w:val="0067270B"/>
    <w:rsid w:val="00677F96"/>
    <w:rsid w:val="00682002"/>
    <w:rsid w:val="0068750F"/>
    <w:rsid w:val="0068792B"/>
    <w:rsid w:val="00692A89"/>
    <w:rsid w:val="00693FCA"/>
    <w:rsid w:val="00697C3A"/>
    <w:rsid w:val="006A0180"/>
    <w:rsid w:val="006A13E7"/>
    <w:rsid w:val="006A2388"/>
    <w:rsid w:val="006A617A"/>
    <w:rsid w:val="006B3710"/>
    <w:rsid w:val="006B5754"/>
    <w:rsid w:val="006C0259"/>
    <w:rsid w:val="006C1A75"/>
    <w:rsid w:val="006C2C71"/>
    <w:rsid w:val="006D04F4"/>
    <w:rsid w:val="006D0593"/>
    <w:rsid w:val="006D58D2"/>
    <w:rsid w:val="006D6A2F"/>
    <w:rsid w:val="006D7853"/>
    <w:rsid w:val="006E060D"/>
    <w:rsid w:val="006E1597"/>
    <w:rsid w:val="006E3EB7"/>
    <w:rsid w:val="006E4F3A"/>
    <w:rsid w:val="006E7546"/>
    <w:rsid w:val="006F4CE2"/>
    <w:rsid w:val="006F65B0"/>
    <w:rsid w:val="006F7ECC"/>
    <w:rsid w:val="00704880"/>
    <w:rsid w:val="00704EAF"/>
    <w:rsid w:val="0070715B"/>
    <w:rsid w:val="007073F3"/>
    <w:rsid w:val="0070741B"/>
    <w:rsid w:val="0071263F"/>
    <w:rsid w:val="00720801"/>
    <w:rsid w:val="00720C65"/>
    <w:rsid w:val="00722131"/>
    <w:rsid w:val="007222A3"/>
    <w:rsid w:val="007222C6"/>
    <w:rsid w:val="00723F6A"/>
    <w:rsid w:val="0072429E"/>
    <w:rsid w:val="00724E98"/>
    <w:rsid w:val="007255D7"/>
    <w:rsid w:val="00725D68"/>
    <w:rsid w:val="00725E38"/>
    <w:rsid w:val="00727D2F"/>
    <w:rsid w:val="00731D22"/>
    <w:rsid w:val="00737131"/>
    <w:rsid w:val="00740349"/>
    <w:rsid w:val="00741912"/>
    <w:rsid w:val="00742AEE"/>
    <w:rsid w:val="007443F1"/>
    <w:rsid w:val="0074707F"/>
    <w:rsid w:val="00752BE5"/>
    <w:rsid w:val="00755B73"/>
    <w:rsid w:val="0075731B"/>
    <w:rsid w:val="00762601"/>
    <w:rsid w:val="007755BB"/>
    <w:rsid w:val="007808CA"/>
    <w:rsid w:val="0078546E"/>
    <w:rsid w:val="00790585"/>
    <w:rsid w:val="007A0BBA"/>
    <w:rsid w:val="007A0FA6"/>
    <w:rsid w:val="007A3124"/>
    <w:rsid w:val="007A3A4D"/>
    <w:rsid w:val="007B176A"/>
    <w:rsid w:val="007B748E"/>
    <w:rsid w:val="007C4635"/>
    <w:rsid w:val="007C7504"/>
    <w:rsid w:val="007C7A76"/>
    <w:rsid w:val="007D0ADF"/>
    <w:rsid w:val="007D6F8B"/>
    <w:rsid w:val="007D7448"/>
    <w:rsid w:val="007D7B88"/>
    <w:rsid w:val="007E07B5"/>
    <w:rsid w:val="007E3496"/>
    <w:rsid w:val="007E6A35"/>
    <w:rsid w:val="007F2043"/>
    <w:rsid w:val="007F3E2F"/>
    <w:rsid w:val="007F5420"/>
    <w:rsid w:val="007F642E"/>
    <w:rsid w:val="008011DA"/>
    <w:rsid w:val="00804175"/>
    <w:rsid w:val="00805917"/>
    <w:rsid w:val="008079CB"/>
    <w:rsid w:val="008130CE"/>
    <w:rsid w:val="00813DAE"/>
    <w:rsid w:val="0082040F"/>
    <w:rsid w:val="00832416"/>
    <w:rsid w:val="00833AEB"/>
    <w:rsid w:val="00841C14"/>
    <w:rsid w:val="0084409B"/>
    <w:rsid w:val="0085315E"/>
    <w:rsid w:val="008557B0"/>
    <w:rsid w:val="00855E1D"/>
    <w:rsid w:val="00860ED2"/>
    <w:rsid w:val="00861724"/>
    <w:rsid w:val="00873F7E"/>
    <w:rsid w:val="00875280"/>
    <w:rsid w:val="00885048"/>
    <w:rsid w:val="00885B7A"/>
    <w:rsid w:val="00892C1D"/>
    <w:rsid w:val="00895D65"/>
    <w:rsid w:val="008974CC"/>
    <w:rsid w:val="008A1103"/>
    <w:rsid w:val="008A5F55"/>
    <w:rsid w:val="008B42E9"/>
    <w:rsid w:val="008C0480"/>
    <w:rsid w:val="008C2567"/>
    <w:rsid w:val="008C4C37"/>
    <w:rsid w:val="008D0FE0"/>
    <w:rsid w:val="008E7207"/>
    <w:rsid w:val="008F2A1B"/>
    <w:rsid w:val="008F705C"/>
    <w:rsid w:val="009013F8"/>
    <w:rsid w:val="00906EC8"/>
    <w:rsid w:val="009104CD"/>
    <w:rsid w:val="00910B16"/>
    <w:rsid w:val="009113D2"/>
    <w:rsid w:val="009155D3"/>
    <w:rsid w:val="0091683D"/>
    <w:rsid w:val="00917759"/>
    <w:rsid w:val="00920F26"/>
    <w:rsid w:val="009224B1"/>
    <w:rsid w:val="009238C6"/>
    <w:rsid w:val="00925FAC"/>
    <w:rsid w:val="009268B8"/>
    <w:rsid w:val="00926B16"/>
    <w:rsid w:val="00930AA9"/>
    <w:rsid w:val="0093149F"/>
    <w:rsid w:val="00932847"/>
    <w:rsid w:val="00935FF4"/>
    <w:rsid w:val="0094323D"/>
    <w:rsid w:val="00943D52"/>
    <w:rsid w:val="00945C27"/>
    <w:rsid w:val="009540E4"/>
    <w:rsid w:val="0095492C"/>
    <w:rsid w:val="00956AD2"/>
    <w:rsid w:val="00957A2C"/>
    <w:rsid w:val="009611CF"/>
    <w:rsid w:val="0096292D"/>
    <w:rsid w:val="009721C2"/>
    <w:rsid w:val="009722CB"/>
    <w:rsid w:val="00975CF8"/>
    <w:rsid w:val="00976F4E"/>
    <w:rsid w:val="00984716"/>
    <w:rsid w:val="0099003C"/>
    <w:rsid w:val="0099009C"/>
    <w:rsid w:val="00990B42"/>
    <w:rsid w:val="00990FA6"/>
    <w:rsid w:val="00997F67"/>
    <w:rsid w:val="009A0B43"/>
    <w:rsid w:val="009A3C3E"/>
    <w:rsid w:val="009A5BE7"/>
    <w:rsid w:val="009B0550"/>
    <w:rsid w:val="009B4489"/>
    <w:rsid w:val="009B517E"/>
    <w:rsid w:val="009B6154"/>
    <w:rsid w:val="009C33D5"/>
    <w:rsid w:val="009C5EFC"/>
    <w:rsid w:val="009D0438"/>
    <w:rsid w:val="009D31A1"/>
    <w:rsid w:val="009E0E81"/>
    <w:rsid w:val="009E796E"/>
    <w:rsid w:val="009F7F51"/>
    <w:rsid w:val="00A0066F"/>
    <w:rsid w:val="00A1108F"/>
    <w:rsid w:val="00A11221"/>
    <w:rsid w:val="00A1185D"/>
    <w:rsid w:val="00A13A5D"/>
    <w:rsid w:val="00A147E1"/>
    <w:rsid w:val="00A20896"/>
    <w:rsid w:val="00A20A62"/>
    <w:rsid w:val="00A20C0A"/>
    <w:rsid w:val="00A22D13"/>
    <w:rsid w:val="00A2415B"/>
    <w:rsid w:val="00A349C5"/>
    <w:rsid w:val="00A37178"/>
    <w:rsid w:val="00A379D4"/>
    <w:rsid w:val="00A4044F"/>
    <w:rsid w:val="00A407AF"/>
    <w:rsid w:val="00A46BCD"/>
    <w:rsid w:val="00A6169F"/>
    <w:rsid w:val="00A61CC9"/>
    <w:rsid w:val="00A70970"/>
    <w:rsid w:val="00A71096"/>
    <w:rsid w:val="00A71C28"/>
    <w:rsid w:val="00A7254E"/>
    <w:rsid w:val="00A727C4"/>
    <w:rsid w:val="00A74C29"/>
    <w:rsid w:val="00A751C8"/>
    <w:rsid w:val="00A754D1"/>
    <w:rsid w:val="00A76078"/>
    <w:rsid w:val="00A80FCF"/>
    <w:rsid w:val="00A815CC"/>
    <w:rsid w:val="00A85F94"/>
    <w:rsid w:val="00A9065F"/>
    <w:rsid w:val="00A93937"/>
    <w:rsid w:val="00A93B57"/>
    <w:rsid w:val="00A96E54"/>
    <w:rsid w:val="00AA445D"/>
    <w:rsid w:val="00AA4D49"/>
    <w:rsid w:val="00AA60A2"/>
    <w:rsid w:val="00AB0BAB"/>
    <w:rsid w:val="00AB13B7"/>
    <w:rsid w:val="00AB1CD8"/>
    <w:rsid w:val="00AB2DB2"/>
    <w:rsid w:val="00AB7079"/>
    <w:rsid w:val="00AC4CBA"/>
    <w:rsid w:val="00AC510B"/>
    <w:rsid w:val="00AC5590"/>
    <w:rsid w:val="00AC74A5"/>
    <w:rsid w:val="00AD3B3C"/>
    <w:rsid w:val="00AD435D"/>
    <w:rsid w:val="00AD5B23"/>
    <w:rsid w:val="00AE0493"/>
    <w:rsid w:val="00AE3383"/>
    <w:rsid w:val="00AE4D58"/>
    <w:rsid w:val="00AF002F"/>
    <w:rsid w:val="00AF1BD6"/>
    <w:rsid w:val="00AF1F7A"/>
    <w:rsid w:val="00B0172F"/>
    <w:rsid w:val="00B12B40"/>
    <w:rsid w:val="00B20451"/>
    <w:rsid w:val="00B2111E"/>
    <w:rsid w:val="00B22327"/>
    <w:rsid w:val="00B2420D"/>
    <w:rsid w:val="00B24BE5"/>
    <w:rsid w:val="00B26329"/>
    <w:rsid w:val="00B31B95"/>
    <w:rsid w:val="00B359A3"/>
    <w:rsid w:val="00B4292D"/>
    <w:rsid w:val="00B42E64"/>
    <w:rsid w:val="00B46CF6"/>
    <w:rsid w:val="00B52104"/>
    <w:rsid w:val="00B52F16"/>
    <w:rsid w:val="00B617B5"/>
    <w:rsid w:val="00B62A2E"/>
    <w:rsid w:val="00B63F35"/>
    <w:rsid w:val="00B65F1F"/>
    <w:rsid w:val="00B66C97"/>
    <w:rsid w:val="00B70034"/>
    <w:rsid w:val="00B70B49"/>
    <w:rsid w:val="00B7363F"/>
    <w:rsid w:val="00B73F96"/>
    <w:rsid w:val="00B77208"/>
    <w:rsid w:val="00B81316"/>
    <w:rsid w:val="00B81768"/>
    <w:rsid w:val="00B83338"/>
    <w:rsid w:val="00B85564"/>
    <w:rsid w:val="00B863D6"/>
    <w:rsid w:val="00B86D34"/>
    <w:rsid w:val="00B87696"/>
    <w:rsid w:val="00B90F80"/>
    <w:rsid w:val="00B91136"/>
    <w:rsid w:val="00B914D9"/>
    <w:rsid w:val="00B91BA8"/>
    <w:rsid w:val="00B938ED"/>
    <w:rsid w:val="00B9437B"/>
    <w:rsid w:val="00BA1517"/>
    <w:rsid w:val="00BB1437"/>
    <w:rsid w:val="00BB3E3C"/>
    <w:rsid w:val="00BB4DD1"/>
    <w:rsid w:val="00BB728B"/>
    <w:rsid w:val="00BB760A"/>
    <w:rsid w:val="00BC6B1D"/>
    <w:rsid w:val="00BC7BF5"/>
    <w:rsid w:val="00BD1A39"/>
    <w:rsid w:val="00BD6E0A"/>
    <w:rsid w:val="00BE1F96"/>
    <w:rsid w:val="00BE1FC7"/>
    <w:rsid w:val="00BE4A38"/>
    <w:rsid w:val="00BE5D4F"/>
    <w:rsid w:val="00BE7BC1"/>
    <w:rsid w:val="00BF1902"/>
    <w:rsid w:val="00BF552D"/>
    <w:rsid w:val="00BF5747"/>
    <w:rsid w:val="00BF5756"/>
    <w:rsid w:val="00BF6956"/>
    <w:rsid w:val="00C02B66"/>
    <w:rsid w:val="00C05C99"/>
    <w:rsid w:val="00C077CF"/>
    <w:rsid w:val="00C15822"/>
    <w:rsid w:val="00C1710E"/>
    <w:rsid w:val="00C179AF"/>
    <w:rsid w:val="00C239FA"/>
    <w:rsid w:val="00C309D8"/>
    <w:rsid w:val="00C37010"/>
    <w:rsid w:val="00C4189D"/>
    <w:rsid w:val="00C42C0F"/>
    <w:rsid w:val="00C4658E"/>
    <w:rsid w:val="00C46BB0"/>
    <w:rsid w:val="00C51915"/>
    <w:rsid w:val="00C54C15"/>
    <w:rsid w:val="00C55D8F"/>
    <w:rsid w:val="00C61E61"/>
    <w:rsid w:val="00C73C6A"/>
    <w:rsid w:val="00C74CA6"/>
    <w:rsid w:val="00C763DC"/>
    <w:rsid w:val="00C81E6F"/>
    <w:rsid w:val="00C856CF"/>
    <w:rsid w:val="00C8599E"/>
    <w:rsid w:val="00C8709F"/>
    <w:rsid w:val="00C907DC"/>
    <w:rsid w:val="00CA3510"/>
    <w:rsid w:val="00CA7103"/>
    <w:rsid w:val="00CA757A"/>
    <w:rsid w:val="00CB146A"/>
    <w:rsid w:val="00CC57F7"/>
    <w:rsid w:val="00CC594B"/>
    <w:rsid w:val="00CD106A"/>
    <w:rsid w:val="00CD2CF0"/>
    <w:rsid w:val="00CD3CFB"/>
    <w:rsid w:val="00CD66A0"/>
    <w:rsid w:val="00CE13F3"/>
    <w:rsid w:val="00CE1F22"/>
    <w:rsid w:val="00CE373E"/>
    <w:rsid w:val="00CE5CE3"/>
    <w:rsid w:val="00CE6009"/>
    <w:rsid w:val="00CF4457"/>
    <w:rsid w:val="00D020B0"/>
    <w:rsid w:val="00D02CA7"/>
    <w:rsid w:val="00D031AC"/>
    <w:rsid w:val="00D034F9"/>
    <w:rsid w:val="00D04245"/>
    <w:rsid w:val="00D0706F"/>
    <w:rsid w:val="00D15D89"/>
    <w:rsid w:val="00D207C5"/>
    <w:rsid w:val="00D2697A"/>
    <w:rsid w:val="00D30EAF"/>
    <w:rsid w:val="00D32241"/>
    <w:rsid w:val="00D443FB"/>
    <w:rsid w:val="00D462D5"/>
    <w:rsid w:val="00D50615"/>
    <w:rsid w:val="00D50B66"/>
    <w:rsid w:val="00D52265"/>
    <w:rsid w:val="00D60C8F"/>
    <w:rsid w:val="00D70BAE"/>
    <w:rsid w:val="00D768AC"/>
    <w:rsid w:val="00D83F4F"/>
    <w:rsid w:val="00D9245C"/>
    <w:rsid w:val="00DA0D97"/>
    <w:rsid w:val="00DA3EC9"/>
    <w:rsid w:val="00DB386F"/>
    <w:rsid w:val="00DC4A14"/>
    <w:rsid w:val="00DD4CEF"/>
    <w:rsid w:val="00DD7B72"/>
    <w:rsid w:val="00DE0598"/>
    <w:rsid w:val="00DE1DBD"/>
    <w:rsid w:val="00DE5430"/>
    <w:rsid w:val="00DE5FD7"/>
    <w:rsid w:val="00DE62EA"/>
    <w:rsid w:val="00DE76DE"/>
    <w:rsid w:val="00DF0758"/>
    <w:rsid w:val="00DF11CB"/>
    <w:rsid w:val="00E00062"/>
    <w:rsid w:val="00E0208B"/>
    <w:rsid w:val="00E03A5F"/>
    <w:rsid w:val="00E05C22"/>
    <w:rsid w:val="00E10F48"/>
    <w:rsid w:val="00E12FD8"/>
    <w:rsid w:val="00E13752"/>
    <w:rsid w:val="00E218A5"/>
    <w:rsid w:val="00E3044A"/>
    <w:rsid w:val="00E31826"/>
    <w:rsid w:val="00E33E90"/>
    <w:rsid w:val="00E3525A"/>
    <w:rsid w:val="00E356BD"/>
    <w:rsid w:val="00E35BFF"/>
    <w:rsid w:val="00E376C4"/>
    <w:rsid w:val="00E41730"/>
    <w:rsid w:val="00E475AF"/>
    <w:rsid w:val="00E51042"/>
    <w:rsid w:val="00E5281A"/>
    <w:rsid w:val="00E55BC3"/>
    <w:rsid w:val="00E57F1D"/>
    <w:rsid w:val="00E63455"/>
    <w:rsid w:val="00E70C06"/>
    <w:rsid w:val="00E73C4E"/>
    <w:rsid w:val="00E76896"/>
    <w:rsid w:val="00E83585"/>
    <w:rsid w:val="00E853E7"/>
    <w:rsid w:val="00E87F26"/>
    <w:rsid w:val="00E93F02"/>
    <w:rsid w:val="00E9757B"/>
    <w:rsid w:val="00EB337B"/>
    <w:rsid w:val="00EB33AF"/>
    <w:rsid w:val="00EB4047"/>
    <w:rsid w:val="00EB72BB"/>
    <w:rsid w:val="00EC10D7"/>
    <w:rsid w:val="00EC26FE"/>
    <w:rsid w:val="00EC6AF1"/>
    <w:rsid w:val="00EC7911"/>
    <w:rsid w:val="00ED10C4"/>
    <w:rsid w:val="00ED2ED3"/>
    <w:rsid w:val="00ED3B57"/>
    <w:rsid w:val="00EE31AA"/>
    <w:rsid w:val="00EE4C36"/>
    <w:rsid w:val="00EE6782"/>
    <w:rsid w:val="00EE70F5"/>
    <w:rsid w:val="00EE7C7A"/>
    <w:rsid w:val="00EF0C4B"/>
    <w:rsid w:val="00EF33A7"/>
    <w:rsid w:val="00EF7CD2"/>
    <w:rsid w:val="00F007D5"/>
    <w:rsid w:val="00F03AD0"/>
    <w:rsid w:val="00F12FB6"/>
    <w:rsid w:val="00F13157"/>
    <w:rsid w:val="00F23288"/>
    <w:rsid w:val="00F268FD"/>
    <w:rsid w:val="00F2713B"/>
    <w:rsid w:val="00F31AD5"/>
    <w:rsid w:val="00F31B75"/>
    <w:rsid w:val="00F33A95"/>
    <w:rsid w:val="00F352C1"/>
    <w:rsid w:val="00F3558C"/>
    <w:rsid w:val="00F374DF"/>
    <w:rsid w:val="00F37E3B"/>
    <w:rsid w:val="00F402EB"/>
    <w:rsid w:val="00F43E69"/>
    <w:rsid w:val="00F44B19"/>
    <w:rsid w:val="00F469C7"/>
    <w:rsid w:val="00F543B1"/>
    <w:rsid w:val="00F5670D"/>
    <w:rsid w:val="00F61789"/>
    <w:rsid w:val="00F64B91"/>
    <w:rsid w:val="00F66727"/>
    <w:rsid w:val="00F73B8E"/>
    <w:rsid w:val="00F772C6"/>
    <w:rsid w:val="00F804BD"/>
    <w:rsid w:val="00F80740"/>
    <w:rsid w:val="00F8145F"/>
    <w:rsid w:val="00F81D2D"/>
    <w:rsid w:val="00F85108"/>
    <w:rsid w:val="00F927AD"/>
    <w:rsid w:val="00FA209A"/>
    <w:rsid w:val="00FA355E"/>
    <w:rsid w:val="00FA3F86"/>
    <w:rsid w:val="00FB6CAA"/>
    <w:rsid w:val="00FC3962"/>
    <w:rsid w:val="00FC497D"/>
    <w:rsid w:val="00FD3F9E"/>
    <w:rsid w:val="00FD45A1"/>
    <w:rsid w:val="00FD623F"/>
    <w:rsid w:val="00FE3D7D"/>
    <w:rsid w:val="00FE4C50"/>
    <w:rsid w:val="00FF114F"/>
    <w:rsid w:val="00FF2381"/>
    <w:rsid w:val="00FF3AF4"/>
    <w:rsid w:val="00FF3DAF"/>
    <w:rsid w:val="04D99866"/>
    <w:rsid w:val="050BED39"/>
    <w:rsid w:val="06C054CF"/>
    <w:rsid w:val="06EE3796"/>
    <w:rsid w:val="089357C6"/>
    <w:rsid w:val="176F9A02"/>
    <w:rsid w:val="1C72B24F"/>
    <w:rsid w:val="1EBEC142"/>
    <w:rsid w:val="236941F4"/>
    <w:rsid w:val="2EA335A1"/>
    <w:rsid w:val="3179D48E"/>
    <w:rsid w:val="317C6201"/>
    <w:rsid w:val="5D646A7F"/>
    <w:rsid w:val="5F6AE214"/>
    <w:rsid w:val="5F7A3F40"/>
    <w:rsid w:val="61C6584D"/>
    <w:rsid w:val="647029F4"/>
    <w:rsid w:val="65746B31"/>
    <w:rsid w:val="7186CB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DB7B6C0"/>
  <w14:defaultImageDpi w14:val="330"/>
  <w15:chartTrackingRefBased/>
  <w15:docId w15:val="{87191D49-1618-4145-9BFC-21DFB4C2F0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29"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94E22"/>
    <w:pPr>
      <w:spacing w:line="280" w:lineRule="exact"/>
    </w:pPr>
    <w:rPr>
      <w:sz w:val="24"/>
    </w:rPr>
  </w:style>
  <w:style w:type="paragraph" w:styleId="Heading1">
    <w:name w:val="heading 1"/>
    <w:basedOn w:val="Normal"/>
    <w:next w:val="Normal"/>
    <w:link w:val="Heading1Char"/>
    <w:qFormat/>
    <w:rsid w:val="0049557F"/>
    <w:pPr>
      <w:keepNext/>
      <w:numPr>
        <w:numId w:val="1"/>
      </w:numPr>
      <w:autoSpaceDE w:val="0"/>
      <w:autoSpaceDN w:val="0"/>
      <w:adjustRightInd w:val="0"/>
      <w:spacing w:after="240" w:line="240" w:lineRule="auto"/>
      <w:outlineLvl w:val="0"/>
    </w:pPr>
    <w:rPr>
      <w:b/>
      <w:szCs w:val="24"/>
    </w:rPr>
  </w:style>
  <w:style w:type="paragraph" w:styleId="Heading5">
    <w:name w:val="heading 5"/>
    <w:basedOn w:val="Normal"/>
    <w:next w:val="Normal"/>
    <w:link w:val="Heading5Char"/>
    <w:uiPriority w:val="9"/>
    <w:semiHidden/>
    <w:unhideWhenUsed/>
    <w:qFormat/>
    <w:rsid w:val="00A37178"/>
    <w:pPr>
      <w:keepNext/>
      <w:keepLines/>
      <w:spacing w:before="40"/>
      <w:outlineLvl w:val="4"/>
    </w:pPr>
    <w:rPr>
      <w:color w:val="0F4761"/>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spacing w:line="240" w:lineRule="auto"/>
      <w:ind w:right="2347"/>
    </w:pPr>
    <w:rPr>
      <w:rFonts w:ascii="Interstate-Light" w:hAnsi="Interstate-Light"/>
      <w:b/>
    </w:rPr>
  </w:style>
  <w:style w:type="paragraph" w:styleId="Footer">
    <w:name w:val="footer"/>
    <w:basedOn w:val="Normal"/>
    <w:pPr>
      <w:tabs>
        <w:tab w:val="center" w:pos="4320"/>
        <w:tab w:val="right" w:pos="8640"/>
      </w:tabs>
      <w:spacing w:line="240" w:lineRule="auto"/>
    </w:pPr>
  </w:style>
  <w:style w:type="paragraph" w:styleId="Notations" w:customStyle="1">
    <w:name w:val="Notations"/>
    <w:basedOn w:val="Normal"/>
    <w:next w:val="Normal"/>
    <w:pPr>
      <w:tabs>
        <w:tab w:val="left" w:pos="0"/>
      </w:tabs>
      <w:spacing w:line="240" w:lineRule="auto"/>
      <w:ind w:left="1267" w:hanging="1267"/>
    </w:pPr>
  </w:style>
  <w:style w:type="paragraph" w:styleId="BodyText">
    <w:name w:val="Body Text"/>
    <w:basedOn w:val="Normal"/>
    <w:link w:val="BodyTextChar"/>
    <w:qFormat/>
    <w:pPr>
      <w:spacing w:after="120"/>
    </w:pPr>
  </w:style>
  <w:style w:type="paragraph" w:styleId="Space" w:customStyle="1">
    <w:name w:val="Space"/>
    <w:basedOn w:val="Normal"/>
  </w:style>
  <w:style w:type="paragraph" w:styleId="Card" w:customStyle="1">
    <w:name w:val="Card"/>
    <w:basedOn w:val="Normal"/>
    <w:pPr>
      <w:spacing w:line="180" w:lineRule="exact"/>
      <w:ind w:right="115"/>
      <w:jc w:val="right"/>
    </w:pPr>
    <w:rPr>
      <w:sz w:val="14"/>
    </w:rPr>
  </w:style>
  <w:style w:type="paragraph" w:styleId="CopyList" w:customStyle="1">
    <w:name w:val="CopyList"/>
    <w:basedOn w:val="Notations"/>
    <w:next w:val="Normal"/>
    <w:pPr>
      <w:tabs>
        <w:tab w:val="clear" w:pos="0"/>
        <w:tab w:val="left" w:pos="360"/>
      </w:tabs>
      <w:ind w:left="720" w:hanging="720"/>
    </w:pPr>
  </w:style>
  <w:style w:type="paragraph" w:styleId="Enclosures" w:customStyle="1">
    <w:name w:val="Enclosures"/>
    <w:basedOn w:val="Normal"/>
    <w:next w:val="Normal"/>
    <w:pPr>
      <w:tabs>
        <w:tab w:val="left" w:pos="1260"/>
      </w:tabs>
      <w:spacing w:line="240" w:lineRule="auto"/>
      <w:ind w:left="1260" w:hanging="1260"/>
    </w:pPr>
  </w:style>
  <w:style w:type="paragraph" w:styleId="HiddenText" w:customStyle="1">
    <w:name w:val="Hidden Text"/>
    <w:basedOn w:val="Normal"/>
    <w:rPr>
      <w:vanish/>
    </w:rPr>
  </w:style>
  <w:style w:type="paragraph" w:styleId="VisibleText" w:customStyle="1">
    <w:name w:val="Visible Text"/>
    <w:basedOn w:val="HiddenText"/>
    <w:rPr>
      <w:vanish w:val="0"/>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odyTextFirstIndent">
    <w:name w:val="Body Text First Indent"/>
    <w:basedOn w:val="BodyText"/>
    <w:link w:val="BodyTextFirstIndentChar"/>
    <w:uiPriority w:val="99"/>
    <w:unhideWhenUsed/>
    <w:rsid w:val="0049557F"/>
    <w:pPr>
      <w:spacing w:after="0"/>
      <w:ind w:firstLine="360"/>
    </w:pPr>
  </w:style>
  <w:style w:type="character" w:styleId="BodyTextChar" w:customStyle="1">
    <w:name w:val="Body Text Char"/>
    <w:basedOn w:val="DefaultParagraphFont"/>
    <w:link w:val="BodyText"/>
    <w:rsid w:val="0049557F"/>
    <w:rPr>
      <w:sz w:val="24"/>
    </w:rPr>
  </w:style>
  <w:style w:type="character" w:styleId="BodyTextFirstIndentChar" w:customStyle="1">
    <w:name w:val="Body Text First Indent Char"/>
    <w:basedOn w:val="BodyTextChar"/>
    <w:link w:val="BodyTextFirstIndent"/>
    <w:uiPriority w:val="99"/>
    <w:rsid w:val="0049557F"/>
    <w:rPr>
      <w:sz w:val="24"/>
    </w:rPr>
  </w:style>
  <w:style w:type="character" w:styleId="Heading1Char" w:customStyle="1">
    <w:name w:val="Heading 1 Char"/>
    <w:basedOn w:val="DefaultParagraphFont"/>
    <w:link w:val="Heading1"/>
    <w:rsid w:val="0049557F"/>
    <w:rPr>
      <w:b/>
      <w:sz w:val="24"/>
      <w:szCs w:val="24"/>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uiPriority w:val="99"/>
    <w:qFormat/>
    <w:rsid w:val="0049557F"/>
    <w:rPr>
      <w:rFonts w:ascii="Times New Roman" w:hAnsi="Times New Roman"/>
      <w:color w:val="000000"/>
      <w:sz w:val="24"/>
      <w:vertAlign w:val="superscript"/>
    </w:rPr>
  </w:style>
  <w:style w:type="paragraph" w:styleId="FootnoteText">
    <w:name w:val="footnote text"/>
    <w:aliases w:val="Footnote Text Char Char,Footnote Text Char Char Char,Footnote Text Char Char1,Footnote Text Char1,Footnote Text Char1 Char,Footnote Text Char1 Char Char Char1,Footnote Text Char2 Char,Footnote Text Char3,Footnote Text MRP,c,f,fn,ft,ft Char"/>
    <w:basedOn w:val="Normal"/>
    <w:link w:val="FootnoteTextChar"/>
    <w:autoRedefine/>
    <w:uiPriority w:val="99"/>
    <w:qFormat/>
    <w:rsid w:val="008A5F55"/>
    <w:pPr>
      <w:tabs>
        <w:tab w:val="left" w:pos="360"/>
      </w:tabs>
      <w:overflowPunct w:val="0"/>
      <w:autoSpaceDE w:val="0"/>
      <w:autoSpaceDN w:val="0"/>
      <w:adjustRightInd w:val="0"/>
      <w:spacing w:line="240" w:lineRule="auto"/>
      <w:ind w:left="360" w:hanging="360"/>
      <w:textAlignment w:val="baseline"/>
    </w:pPr>
    <w:rPr>
      <w:spacing w:val="-2"/>
      <w:sz w:val="22"/>
    </w:rPr>
  </w:style>
  <w:style w:type="character" w:styleId="FootnoteTextChar" w:customStyle="1">
    <w:name w:val="Footnote Text Char"/>
    <w:aliases w:val="Footnote Text Char Char Char1,Footnote Text Char Char Char Char,Footnote Text Char Char1 Char,Footnote Text Char1 Char1,Footnote Text Char1 Char Char,Footnote Text Char1 Char Char Char1 Char,Footnote Text Char2 Char Char,c Char,f Char"/>
    <w:basedOn w:val="DefaultParagraphFont"/>
    <w:link w:val="FootnoteText"/>
    <w:uiPriority w:val="99"/>
    <w:rsid w:val="0049557F"/>
    <w:rPr>
      <w:spacing w:val="-2"/>
      <w:sz w:val="22"/>
    </w:rPr>
  </w:style>
  <w:style w:type="paragraph" w:styleId="Quote">
    <w:name w:val="Quote"/>
    <w:basedOn w:val="Normal"/>
    <w:next w:val="Normal"/>
    <w:link w:val="QuoteChar"/>
    <w:uiPriority w:val="29"/>
    <w:qFormat/>
    <w:rsid w:val="0049557F"/>
    <w:pPr>
      <w:spacing w:after="240" w:line="240" w:lineRule="auto"/>
      <w:ind w:left="1008" w:right="576"/>
    </w:pPr>
  </w:style>
  <w:style w:type="character" w:styleId="QuoteChar" w:customStyle="1">
    <w:name w:val="Quote Char"/>
    <w:basedOn w:val="DefaultParagraphFont"/>
    <w:link w:val="Quote"/>
    <w:uiPriority w:val="29"/>
    <w:rsid w:val="0049557F"/>
    <w:rPr>
      <w:sz w:val="24"/>
    </w:rPr>
  </w:style>
  <w:style w:type="paragraph" w:styleId="ListBullet">
    <w:name w:val="List Bullet"/>
    <w:basedOn w:val="Normal"/>
    <w:uiPriority w:val="99"/>
    <w:unhideWhenUsed/>
    <w:rsid w:val="0049557F"/>
    <w:pPr>
      <w:numPr>
        <w:numId w:val="2"/>
      </w:numPr>
      <w:tabs>
        <w:tab w:val="clear" w:pos="360"/>
        <w:tab w:val="num" w:pos="720"/>
        <w:tab w:val="num" w:pos="1440"/>
      </w:tabs>
      <w:spacing w:after="240" w:line="240" w:lineRule="auto"/>
    </w:pPr>
    <w:rPr>
      <w:rFonts w:eastAsia="Calibri"/>
      <w:szCs w:val="24"/>
    </w:rPr>
  </w:style>
  <w:style w:type="paragraph" w:styleId="Signature">
    <w:name w:val="Signature"/>
    <w:basedOn w:val="Normal"/>
    <w:link w:val="SignatureChar"/>
    <w:rsid w:val="0049557F"/>
    <w:pPr>
      <w:spacing w:line="240" w:lineRule="auto"/>
      <w:ind w:left="4320"/>
    </w:pPr>
  </w:style>
  <w:style w:type="character" w:styleId="SignatureChar" w:customStyle="1">
    <w:name w:val="Signature Char"/>
    <w:basedOn w:val="DefaultParagraphFont"/>
    <w:link w:val="Signature"/>
    <w:rsid w:val="0049557F"/>
    <w:rPr>
      <w:sz w:val="24"/>
    </w:rPr>
  </w:style>
  <w:style w:type="character" w:styleId="HeaderChar" w:customStyle="1">
    <w:name w:val="Header Char"/>
    <w:basedOn w:val="DefaultParagraphFont"/>
    <w:link w:val="Header"/>
    <w:uiPriority w:val="99"/>
    <w:rsid w:val="0049557F"/>
    <w:rPr>
      <w:rFonts w:ascii="Interstate-Light" w:hAnsi="Interstate-Light"/>
      <w:b/>
      <w:sz w:val="24"/>
    </w:rPr>
  </w:style>
  <w:style w:type="paragraph" w:styleId="Revision">
    <w:name w:val="Revision"/>
    <w:hidden/>
    <w:uiPriority w:val="71"/>
    <w:rsid w:val="00213D3E"/>
    <w:rPr>
      <w:sz w:val="24"/>
    </w:rPr>
  </w:style>
  <w:style w:type="paragraph" w:styleId="NoSpacing">
    <w:name w:val="No Spacing"/>
    <w:uiPriority w:val="99"/>
    <w:qFormat/>
    <w:rsid w:val="00216324"/>
    <w:rPr>
      <w:sz w:val="24"/>
    </w:rPr>
  </w:style>
  <w:style w:type="character" w:styleId="CommentReference">
    <w:name w:val="Comment Reference"/>
    <w:basedOn w:val="DefaultParagraphFont"/>
    <w:uiPriority w:val="99"/>
    <w:semiHidden/>
    <w:unhideWhenUsed/>
    <w:rsid w:val="00F352C1"/>
    <w:rPr>
      <w:sz w:val="16"/>
      <w:szCs w:val="16"/>
    </w:rPr>
  </w:style>
  <w:style w:type="paragraph" w:styleId="CommentText">
    <w:name w:val="Comment Text"/>
    <w:basedOn w:val="Normal"/>
    <w:link w:val="CommentTextChar"/>
    <w:uiPriority w:val="99"/>
    <w:unhideWhenUsed/>
    <w:rsid w:val="00F352C1"/>
    <w:pPr>
      <w:spacing w:line="240" w:lineRule="auto"/>
    </w:pPr>
    <w:rPr>
      <w:sz w:val="20"/>
    </w:rPr>
  </w:style>
  <w:style w:type="character" w:styleId="CommentTextChar" w:customStyle="1">
    <w:name w:val="Comment Text Char"/>
    <w:basedOn w:val="DefaultParagraphFont"/>
    <w:link w:val="CommentText"/>
    <w:uiPriority w:val="99"/>
    <w:rsid w:val="00F352C1"/>
  </w:style>
  <w:style w:type="paragraph" w:styleId="CommentSubject">
    <w:name w:val="Comment Subject"/>
    <w:basedOn w:val="CommentText"/>
    <w:next w:val="CommentText"/>
    <w:link w:val="CommentSubjectChar"/>
    <w:uiPriority w:val="99"/>
    <w:semiHidden/>
    <w:unhideWhenUsed/>
    <w:rsid w:val="00F352C1"/>
    <w:rPr>
      <w:b/>
      <w:bCs/>
    </w:rPr>
  </w:style>
  <w:style w:type="character" w:styleId="CommentSubjectChar" w:customStyle="1">
    <w:name w:val="Comment Subject Char"/>
    <w:basedOn w:val="CommentTextChar"/>
    <w:link w:val="CommentSubject"/>
    <w:uiPriority w:val="99"/>
    <w:semiHidden/>
    <w:rsid w:val="00F352C1"/>
    <w:rPr>
      <w:b/>
      <w:bCs/>
    </w:rPr>
  </w:style>
  <w:style w:type="paragraph" w:styleId="EndnoteText">
    <w:name w:val="endnote text"/>
    <w:basedOn w:val="Normal"/>
    <w:link w:val="EndnoteTextChar"/>
    <w:uiPriority w:val="99"/>
    <w:semiHidden/>
    <w:unhideWhenUsed/>
    <w:rsid w:val="00A407AF"/>
    <w:pPr>
      <w:spacing w:line="240" w:lineRule="auto"/>
    </w:pPr>
    <w:rPr>
      <w:sz w:val="20"/>
    </w:rPr>
  </w:style>
  <w:style w:type="character" w:styleId="EndnoteTextChar" w:customStyle="1">
    <w:name w:val="Endnote Text Char"/>
    <w:basedOn w:val="DefaultParagraphFont"/>
    <w:link w:val="EndnoteText"/>
    <w:uiPriority w:val="99"/>
    <w:semiHidden/>
    <w:rsid w:val="00A407AF"/>
  </w:style>
  <w:style w:type="character" w:styleId="EndnoteReference">
    <w:name w:val="endnote reference"/>
    <w:basedOn w:val="DefaultParagraphFont"/>
    <w:uiPriority w:val="99"/>
    <w:semiHidden/>
    <w:unhideWhenUsed/>
    <w:rsid w:val="00A407AF"/>
    <w:rPr>
      <w:vertAlign w:val="superscript"/>
    </w:rPr>
  </w:style>
  <w:style w:type="paragraph" w:styleId="ListParagraph">
    <w:name w:val="List Paragraph"/>
    <w:basedOn w:val="Normal"/>
    <w:uiPriority w:val="1"/>
    <w:qFormat/>
    <w:rsid w:val="00AE4D58"/>
    <w:pPr>
      <w:spacing w:line="240" w:lineRule="auto"/>
      <w:ind w:left="720"/>
    </w:pPr>
    <w:rPr>
      <w:szCs w:val="24"/>
    </w:rPr>
  </w:style>
  <w:style w:type="character" w:styleId="Mention">
    <w:name w:val="Mention"/>
    <w:basedOn w:val="DefaultParagraphFont"/>
    <w:uiPriority w:val="99"/>
    <w:unhideWhenUsed/>
    <w:rsid w:val="00741912"/>
    <w:rPr>
      <w:color w:val="2B579A"/>
      <w:shd w:val="clear" w:color="auto" w:fill="E1DFDD"/>
    </w:rPr>
  </w:style>
  <w:style w:type="paragraph" w:styleId="Title">
    <w:name w:val="Title"/>
    <w:basedOn w:val="Normal"/>
    <w:link w:val="TitleChar"/>
    <w:uiPriority w:val="10"/>
    <w:qFormat/>
    <w:rsid w:val="00892C1D"/>
    <w:pPr>
      <w:widowControl w:val="0"/>
      <w:autoSpaceDE w:val="0"/>
      <w:autoSpaceDN w:val="0"/>
      <w:spacing w:before="60" w:line="240" w:lineRule="auto"/>
      <w:ind w:left="358"/>
      <w:jc w:val="center"/>
    </w:pPr>
    <w:rPr>
      <w:b/>
      <w:bCs/>
      <w:szCs w:val="24"/>
      <w:u w:val="single" w:color="000000"/>
    </w:rPr>
  </w:style>
  <w:style w:type="character" w:styleId="TitleChar" w:customStyle="1">
    <w:name w:val="Title Char"/>
    <w:basedOn w:val="DefaultParagraphFont"/>
    <w:link w:val="Title"/>
    <w:uiPriority w:val="10"/>
    <w:rsid w:val="00892C1D"/>
    <w:rPr>
      <w:b/>
      <w:bCs/>
      <w:sz w:val="24"/>
      <w:szCs w:val="24"/>
      <w:u w:val="single" w:color="000000"/>
    </w:rPr>
  </w:style>
  <w:style w:type="paragraph" w:styleId="TableParagraph" w:customStyle="1">
    <w:name w:val="Table Paragraph"/>
    <w:basedOn w:val="Normal"/>
    <w:uiPriority w:val="1"/>
    <w:qFormat/>
    <w:rsid w:val="006E060D"/>
    <w:pPr>
      <w:widowControl w:val="0"/>
      <w:autoSpaceDE w:val="0"/>
      <w:autoSpaceDN w:val="0"/>
      <w:spacing w:line="240" w:lineRule="auto"/>
      <w:ind w:left="609"/>
    </w:pPr>
    <w:rPr>
      <w:sz w:val="22"/>
      <w:szCs w:val="22"/>
    </w:rPr>
  </w:style>
  <w:style w:type="character" w:styleId="Hyperlink">
    <w:name w:val="Hyperlink"/>
    <w:basedOn w:val="DefaultParagraphFont"/>
    <w:uiPriority w:val="99"/>
    <w:unhideWhenUsed/>
    <w:rsid w:val="00BE1F96"/>
    <w:rPr>
      <w:color w:val="0563C1" w:themeColor="hyperlink"/>
      <w:u w:val="single"/>
    </w:rPr>
  </w:style>
  <w:style w:type="character" w:styleId="UnresolvedMention">
    <w:name w:val="Unresolved Mention"/>
    <w:basedOn w:val="DefaultParagraphFont"/>
    <w:uiPriority w:val="99"/>
    <w:semiHidden/>
    <w:unhideWhenUsed/>
    <w:rsid w:val="00BE1F96"/>
    <w:rPr>
      <w:color w:val="605E5C"/>
      <w:shd w:val="clear" w:color="auto" w:fill="E1DFDD"/>
    </w:rPr>
  </w:style>
  <w:style w:type="character" w:styleId="FollowedHyperlink">
    <w:name w:val="FollowedHyperlink"/>
    <w:basedOn w:val="DefaultParagraphFont"/>
    <w:uiPriority w:val="99"/>
    <w:semiHidden/>
    <w:unhideWhenUsed/>
    <w:rsid w:val="00F23288"/>
    <w:rPr>
      <w:color w:val="954F72" w:themeColor="followedHyperlink"/>
      <w:u w:val="single"/>
    </w:rPr>
  </w:style>
  <w:style w:type="paragraph" w:styleId="StyleBodyTextJustifiedFirstline05Right025" w:customStyle="1">
    <w:name w:val="Style Body Text + Justified First line:  0.5&quot; Right:  0.25&quot;"/>
    <w:basedOn w:val="BodyText"/>
    <w:rsid w:val="00F33A95"/>
    <w:pPr>
      <w:spacing w:line="240" w:lineRule="auto"/>
      <w:ind w:right="360" w:firstLine="720"/>
      <w:jc w:val="both"/>
    </w:pPr>
  </w:style>
  <w:style w:type="paragraph" w:styleId="StyleBodyTextJustifiedFirstline05" w:customStyle="1">
    <w:name w:val="Style Body Text + Justified First line:  0.5&quot;"/>
    <w:basedOn w:val="BodyText"/>
    <w:rsid w:val="00F33A95"/>
    <w:pPr>
      <w:spacing w:line="240" w:lineRule="auto"/>
      <w:ind w:firstLine="720"/>
      <w:jc w:val="both"/>
    </w:pPr>
  </w:style>
  <w:style w:type="paragraph" w:styleId="BodyText3">
    <w:name w:val="Body Text 3"/>
    <w:basedOn w:val="Normal"/>
    <w:link w:val="BodyText3Char"/>
    <w:uiPriority w:val="99"/>
    <w:semiHidden/>
    <w:unhideWhenUsed/>
    <w:rsid w:val="000318E8"/>
    <w:pPr>
      <w:spacing w:after="120"/>
    </w:pPr>
    <w:rPr>
      <w:sz w:val="16"/>
      <w:szCs w:val="16"/>
    </w:rPr>
  </w:style>
  <w:style w:type="character" w:styleId="BodyText3Char" w:customStyle="1">
    <w:name w:val="Body Text 3 Char"/>
    <w:basedOn w:val="DefaultParagraphFont"/>
    <w:link w:val="BodyText3"/>
    <w:uiPriority w:val="99"/>
    <w:semiHidden/>
    <w:rsid w:val="000318E8"/>
    <w:rPr>
      <w:sz w:val="16"/>
      <w:szCs w:val="16"/>
    </w:rPr>
  </w:style>
  <w:style w:type="paragraph" w:styleId="Heading51" w:customStyle="1">
    <w:name w:val="Heading 51"/>
    <w:basedOn w:val="Normal"/>
    <w:next w:val="Normal"/>
    <w:uiPriority w:val="9"/>
    <w:semiHidden/>
    <w:unhideWhenUsed/>
    <w:qFormat/>
    <w:rsid w:val="00A37178"/>
    <w:pPr>
      <w:keepNext/>
      <w:keepLines/>
      <w:widowControl w:val="0"/>
      <w:autoSpaceDE w:val="0"/>
      <w:autoSpaceDN w:val="0"/>
      <w:spacing w:before="80" w:after="40" w:line="240" w:lineRule="auto"/>
      <w:outlineLvl w:val="4"/>
    </w:pPr>
    <w:rPr>
      <w:color w:val="0F4761"/>
      <w:sz w:val="22"/>
      <w:szCs w:val="22"/>
    </w:rPr>
  </w:style>
  <w:style w:type="character" w:styleId="Heading5Char" w:customStyle="1">
    <w:name w:val="Heading 5 Char"/>
    <w:basedOn w:val="DefaultParagraphFont"/>
    <w:link w:val="Heading5"/>
    <w:uiPriority w:val="9"/>
    <w:semiHidden/>
    <w:rsid w:val="00A37178"/>
    <w:rPr>
      <w:color w:val="0F4761"/>
      <w:sz w:val="22"/>
      <w:szCs w:val="22"/>
    </w:rPr>
  </w:style>
  <w:style w:type="character" w:styleId="Heading5Char1" w:customStyle="1">
    <w:name w:val="Heading 5 Char1"/>
    <w:basedOn w:val="DefaultParagraphFont"/>
    <w:uiPriority w:val="9"/>
    <w:semiHidden/>
    <w:rsid w:val="00A37178"/>
    <w:rPr>
      <w:rFonts w:asciiTheme="majorHAnsi" w:hAnsiTheme="majorHAnsi" w:eastAsiaTheme="majorEastAsia" w:cstheme="majorBidi"/>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jp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header" Target="header4.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57bc06a4-be90-4270-adeb-72dff3d90fbf" xsi:nil="true"/>
    <TaxCatchAll xmlns="6996a22d-2c4c-4c46-8266-62bff0c00b3b" xsi:nil="true"/>
    <lcf76f155ced4ddcb4097134ff3c332f xmlns="57bc06a4-be90-4270-adeb-72dff3d90fbf">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6786B9FA4370141B65974482BA8AB61" ma:contentTypeVersion="19" ma:contentTypeDescription="Create a new document." ma:contentTypeScope="" ma:versionID="c58e5ee239d62a4654d186e72e059171">
  <xsd:schema xmlns:xsd="http://www.w3.org/2001/XMLSchema" xmlns:xs="http://www.w3.org/2001/XMLSchema" xmlns:p="http://schemas.microsoft.com/office/2006/metadata/properties" xmlns:ns2="57bc06a4-be90-4270-adeb-72dff3d90fbf" xmlns:ns3="6996a22d-2c4c-4c46-8266-62bff0c00b3b" targetNamespace="http://schemas.microsoft.com/office/2006/metadata/properties" ma:root="true" ma:fieldsID="c1bdad7fefff6350a984da54372a7afc" ns2:_="" ns3:_="">
    <xsd:import namespace="57bc06a4-be90-4270-adeb-72dff3d90fbf"/>
    <xsd:import namespace="6996a22d-2c4c-4c46-8266-62bff0c00b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c06a4-be90-4270-adeb-72dff3d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description="Status of the document" ma:format="Dropdown" ma:internalName="Status">
      <xsd:simpleType>
        <xsd:restriction base="dms:Choice">
          <xsd:enumeration value="Approved Legal"/>
          <xsd:enumeration value="Chuck Approval Required"/>
          <xsd:enumeration value="CM Approved"/>
          <xsd:enumeration value="Complete - Ready to Post"/>
          <xsd:enumeration value="Delete"/>
          <xsd:enumeration value="Do Not Send"/>
          <xsd:enumeration value="Final"/>
          <xsd:enumeration value="In Progress"/>
          <xsd:enumeration value="Ready for CM Review"/>
          <xsd:enumeration value="Response Pending"/>
          <xsd:enumeration value="Supplemental"/>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99c8f0f-62e3-48c7-84e8-4daf5ce6c2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6a22d-2c4c-4c46-8266-62bff0c00b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d0a87e5-e773-43ee-a32a-25f1b6bab685}" ma:internalName="TaxCatchAll" ma:showField="CatchAllData" ma:web="6996a22d-2c4c-4c46-8266-62bff0c00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FAF6C-8DC6-4E10-81E4-4D703752328F}">
  <ds:schemaRefs>
    <ds:schemaRef ds:uri="http://schemas.openxmlformats.org/officeDocument/2006/bibliography"/>
  </ds:schemaRefs>
</ds:datastoreItem>
</file>

<file path=customXml/itemProps2.xml><?xml version="1.0" encoding="utf-8"?>
<ds:datastoreItem xmlns:ds="http://schemas.openxmlformats.org/officeDocument/2006/customXml" ds:itemID="{6E3E29E2-893A-4B27-9B81-4D9E6ACEF4D7}">
  <ds:schemaRefs>
    <ds:schemaRef ds:uri="http://schemas.microsoft.com/office/2006/metadata/longProperties"/>
  </ds:schemaRefs>
</ds:datastoreItem>
</file>

<file path=customXml/itemProps3.xml><?xml version="1.0" encoding="utf-8"?>
<ds:datastoreItem xmlns:ds="http://schemas.openxmlformats.org/officeDocument/2006/customXml" ds:itemID="{30774CD0-9B1B-4ED3-A2B6-E3AB46EF4ABC}">
  <ds:schemaRefs>
    <ds:schemaRef ds:uri="http://schemas.microsoft.com/sharepoint/v3/contenttype/forms"/>
  </ds:schemaRefs>
</ds:datastoreItem>
</file>

<file path=customXml/itemProps4.xml><?xml version="1.0" encoding="utf-8"?>
<ds:datastoreItem xmlns:ds="http://schemas.openxmlformats.org/officeDocument/2006/customXml" ds:itemID="{33C65FCF-6178-426B-98D1-64D9D419F1FE}">
  <ds:schemaRefs>
    <ds:schemaRef ds:uri="http://schemas.microsoft.com/office/2006/metadata/properties"/>
    <ds:schemaRef ds:uri="http://schemas.microsoft.com/office/infopath/2007/PartnerControls"/>
    <ds:schemaRef ds:uri="57bc06a4-be90-4270-adeb-72dff3d90fbf"/>
    <ds:schemaRef ds:uri="6996a22d-2c4c-4c46-8266-62bff0c00b3b"/>
  </ds:schemaRefs>
</ds:datastoreItem>
</file>

<file path=customXml/itemProps5.xml><?xml version="1.0" encoding="utf-8"?>
<ds:datastoreItem xmlns:ds="http://schemas.openxmlformats.org/officeDocument/2006/customXml" ds:itemID="{5F549513-EEB9-47F7-95C9-854D4F4F1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c06a4-be90-4270-adeb-72dff3d90fbf"/>
    <ds:schemaRef ds:uri="6996a22d-2c4c-4c46-8266-62bff0c00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SDGE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General Letterhead</dc:title>
  <dc:subject/>
  <dc:creator>Laurent Tschumy</dc:creator>
  <keywords/>
  <dc:description/>
  <lastModifiedBy>Penn, Christopher R</lastModifiedBy>
  <revision>9</revision>
  <lastPrinted>2026-06-15T23:56:00.0000000Z</lastPrinted>
  <dcterms:created xsi:type="dcterms:W3CDTF">2026-09-24T19:48:00.0000000Z</dcterms:created>
  <dcterms:modified xsi:type="dcterms:W3CDTF">2026-09-30T17:53:23.1886227Z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Business Unit">
    <vt:lpwstr>3;#SDG＆E|360854f1-49f5-41b4-8d64-4d496c21aa7f</vt:lpwstr>
  </property>
  <property fmtid="{D5CDD505-2E9C-101B-9397-08002B2CF9AE}" pid="5" name="TaxCatchAll">
    <vt:lpwstr>3;#SDG＆E|360854f1-49f5-41b4-8d64-4d496c21aa7f</vt:lpwstr>
  </property>
  <property fmtid="{D5CDD505-2E9C-101B-9397-08002B2CF9AE}" pid="6" name="ContentTypeId">
    <vt:lpwstr>0x010100D6786B9FA4370141B65974482BA8AB61</vt:lpwstr>
  </property>
  <property fmtid="{D5CDD505-2E9C-101B-9397-08002B2CF9AE}" pid="7" name="MediaServiceImageTags">
    <vt:lpwstr/>
  </property>
  <property fmtid="{D5CDD505-2E9C-101B-9397-08002B2CF9AE}" pid="8" name="GrammarlyDocumentId">
    <vt:lpwstr>7cc4f16caabe670714119009b5a69ac4cb44e620eb66b7474f71432913e10441</vt:lpwstr>
  </property>
  <property fmtid="{D5CDD505-2E9C-101B-9397-08002B2CF9AE}" pid="9" name="MSIP_Label_cd97076e-e5a9-49b1-9873-62b6e38f493d_Enabled">
    <vt:lpwstr>true</vt:lpwstr>
  </property>
  <property fmtid="{D5CDD505-2E9C-101B-9397-08002B2CF9AE}" pid="10" name="MSIP_Label_cd97076e-e5a9-49b1-9873-62b6e38f493d_SetDate">
    <vt:lpwstr>2026-06-16T21:17:24Z</vt:lpwstr>
  </property>
  <property fmtid="{D5CDD505-2E9C-101B-9397-08002B2CF9AE}" pid="11" name="MSIP_Label_cd97076e-e5a9-49b1-9873-62b6e38f493d_Method">
    <vt:lpwstr>Standard</vt:lpwstr>
  </property>
  <property fmtid="{D5CDD505-2E9C-101B-9397-08002B2CF9AE}" pid="12" name="MSIP_Label_cd97076e-e5a9-49b1-9873-62b6e38f493d_Name">
    <vt:lpwstr>IP-Internal</vt:lpwstr>
  </property>
  <property fmtid="{D5CDD505-2E9C-101B-9397-08002B2CF9AE}" pid="13" name="MSIP_Label_cd97076e-e5a9-49b1-9873-62b6e38f493d_SiteId">
    <vt:lpwstr>a2e7980c-11ea-4838-8f1a-2f497d8c4072</vt:lpwstr>
  </property>
  <property fmtid="{D5CDD505-2E9C-101B-9397-08002B2CF9AE}" pid="14" name="MSIP_Label_cd97076e-e5a9-49b1-9873-62b6e38f493d_ActionId">
    <vt:lpwstr>4bd4a2a6-203e-49b5-978a-4eafcaee3cb9</vt:lpwstr>
  </property>
  <property fmtid="{D5CDD505-2E9C-101B-9397-08002B2CF9AE}" pid="15" name="MSIP_Label_cd97076e-e5a9-49b1-9873-62b6e38f493d_ContentBits">
    <vt:lpwstr>0</vt:lpwstr>
  </property>
  <property fmtid="{D5CDD505-2E9C-101B-9397-08002B2CF9AE}" pid="16" name="MSIP_Label_cd97076e-e5a9-49b1-9873-62b6e38f493d_Tag">
    <vt:lpwstr>10, 3, 0, 1</vt:lpwstr>
  </property>
  <property fmtid="{D5CDD505-2E9C-101B-9397-08002B2CF9AE}" pid="17" name="docLang">
    <vt:lpwstr>en</vt:lpwstr>
  </property>
</Properties>
</file>