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E4F2"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UNITED STATES OF AMERICA</w:t>
      </w:r>
    </w:p>
    <w:p w14:paraId="70E2EFCD"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BEFORE THE</w:t>
      </w:r>
    </w:p>
    <w:p w14:paraId="4D168E26"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FEDERAL ENERGY REGULATORY COMMISSION</w:t>
      </w:r>
    </w:p>
    <w:p w14:paraId="75581940"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p>
    <w:p w14:paraId="4FCD9719"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p>
    <w:p w14:paraId="1D2A74D3" w14:textId="4166BD58"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San Diego Gas &amp; Electric Company</w:t>
      </w:r>
      <w:r w:rsidRPr="00A350D7">
        <w:rPr>
          <w:rFonts w:cs="Times New Roman"/>
          <w:b/>
          <w:bCs/>
          <w:color w:val="000000"/>
          <w:sz w:val="28"/>
          <w:szCs w:val="28"/>
        </w:rPr>
        <w:tab/>
      </w:r>
      <w:r w:rsidRPr="00A350D7">
        <w:rPr>
          <w:rFonts w:cs="Times New Roman"/>
          <w:b/>
          <w:bCs/>
          <w:color w:val="000000"/>
          <w:sz w:val="28"/>
          <w:szCs w:val="28"/>
        </w:rPr>
        <w:tab/>
        <w:t>Docket No. ER</w:t>
      </w:r>
      <w:r w:rsidR="005937AE">
        <w:rPr>
          <w:rFonts w:cs="Times New Roman"/>
          <w:b/>
          <w:bCs/>
          <w:color w:val="000000"/>
          <w:sz w:val="28"/>
          <w:szCs w:val="28"/>
        </w:rPr>
        <w:t>2</w:t>
      </w:r>
      <w:r w:rsidR="00065C0B">
        <w:rPr>
          <w:rFonts w:cs="Times New Roman"/>
          <w:b/>
          <w:bCs/>
          <w:color w:val="000000"/>
          <w:sz w:val="28"/>
          <w:szCs w:val="28"/>
        </w:rPr>
        <w:t>6</w:t>
      </w:r>
      <w:r w:rsidRPr="00A55574">
        <w:rPr>
          <w:rFonts w:cs="Times New Roman"/>
          <w:b/>
          <w:bCs/>
          <w:sz w:val="28"/>
          <w:szCs w:val="28"/>
        </w:rPr>
        <w:t>-</w:t>
      </w:r>
      <w:r w:rsidR="005937AE" w:rsidRPr="00A55574">
        <w:rPr>
          <w:rFonts w:cs="Times New Roman"/>
          <w:b/>
          <w:bCs/>
          <w:sz w:val="28"/>
          <w:szCs w:val="28"/>
        </w:rPr>
        <w:t>XX</w:t>
      </w:r>
      <w:r w:rsidR="00AC1C3E" w:rsidRPr="00A55574">
        <w:rPr>
          <w:rFonts w:cs="Times New Roman"/>
          <w:b/>
          <w:bCs/>
          <w:sz w:val="28"/>
          <w:szCs w:val="28"/>
        </w:rPr>
        <w:t>X</w:t>
      </w:r>
      <w:r w:rsidRPr="00A55574">
        <w:rPr>
          <w:rFonts w:cs="Times New Roman"/>
          <w:b/>
          <w:bCs/>
          <w:sz w:val="28"/>
          <w:szCs w:val="28"/>
        </w:rPr>
        <w:t>-</w:t>
      </w:r>
      <w:r w:rsidR="002045CD" w:rsidRPr="00A55574">
        <w:rPr>
          <w:rFonts w:cs="Times New Roman"/>
          <w:b/>
          <w:bCs/>
          <w:sz w:val="28"/>
          <w:szCs w:val="28"/>
        </w:rPr>
        <w:t>XXX</w:t>
      </w:r>
    </w:p>
    <w:p w14:paraId="00D074DC" w14:textId="77777777" w:rsidR="00B070F2" w:rsidRPr="00A350D7" w:rsidRDefault="00B070F2" w:rsidP="00CB3AB6">
      <w:pPr>
        <w:suppressLineNumbers/>
        <w:autoSpaceDE w:val="0"/>
        <w:autoSpaceDN w:val="0"/>
        <w:adjustRightInd w:val="0"/>
        <w:jc w:val="center"/>
        <w:rPr>
          <w:rFonts w:cs="Times New Roman"/>
          <w:color w:val="000000"/>
          <w:sz w:val="28"/>
          <w:szCs w:val="28"/>
        </w:rPr>
      </w:pPr>
    </w:p>
    <w:p w14:paraId="581FC3DC" w14:textId="77777777" w:rsidR="00B070F2" w:rsidRDefault="00B070F2" w:rsidP="00CB3AB6">
      <w:pPr>
        <w:suppressLineNumbers/>
        <w:autoSpaceDE w:val="0"/>
        <w:autoSpaceDN w:val="0"/>
        <w:adjustRightInd w:val="0"/>
        <w:jc w:val="center"/>
        <w:rPr>
          <w:rFonts w:cs="Times New Roman"/>
          <w:color w:val="000000"/>
          <w:sz w:val="28"/>
          <w:szCs w:val="28"/>
        </w:rPr>
      </w:pPr>
    </w:p>
    <w:p w14:paraId="55A9A1A5" w14:textId="77777777" w:rsidR="00555EBD" w:rsidRDefault="00555EBD" w:rsidP="00CB3AB6">
      <w:pPr>
        <w:suppressLineNumbers/>
        <w:autoSpaceDE w:val="0"/>
        <w:autoSpaceDN w:val="0"/>
        <w:adjustRightInd w:val="0"/>
        <w:jc w:val="center"/>
        <w:rPr>
          <w:rFonts w:cs="Times New Roman"/>
          <w:color w:val="000000"/>
          <w:sz w:val="28"/>
          <w:szCs w:val="28"/>
        </w:rPr>
      </w:pPr>
    </w:p>
    <w:p w14:paraId="67AB0A42" w14:textId="77777777" w:rsidR="00555EBD" w:rsidRDefault="00555EBD" w:rsidP="00CB3AB6">
      <w:pPr>
        <w:suppressLineNumbers/>
        <w:autoSpaceDE w:val="0"/>
        <w:autoSpaceDN w:val="0"/>
        <w:adjustRightInd w:val="0"/>
        <w:jc w:val="center"/>
        <w:rPr>
          <w:rFonts w:cs="Times New Roman"/>
          <w:color w:val="000000"/>
          <w:sz w:val="28"/>
          <w:szCs w:val="28"/>
        </w:rPr>
      </w:pPr>
    </w:p>
    <w:p w14:paraId="27B58595" w14:textId="77777777" w:rsidR="00555EBD" w:rsidRDefault="00555EBD" w:rsidP="00CB3AB6">
      <w:pPr>
        <w:suppressLineNumbers/>
        <w:autoSpaceDE w:val="0"/>
        <w:autoSpaceDN w:val="0"/>
        <w:adjustRightInd w:val="0"/>
        <w:jc w:val="center"/>
        <w:rPr>
          <w:rFonts w:cs="Times New Roman"/>
          <w:color w:val="000000"/>
          <w:sz w:val="28"/>
          <w:szCs w:val="28"/>
        </w:rPr>
      </w:pPr>
    </w:p>
    <w:p w14:paraId="79D2656A" w14:textId="77777777" w:rsidR="00555EBD" w:rsidRDefault="00555EBD" w:rsidP="00CB3AB6">
      <w:pPr>
        <w:suppressLineNumbers/>
        <w:autoSpaceDE w:val="0"/>
        <w:autoSpaceDN w:val="0"/>
        <w:adjustRightInd w:val="0"/>
        <w:jc w:val="center"/>
        <w:rPr>
          <w:rFonts w:cs="Times New Roman"/>
          <w:color w:val="000000"/>
          <w:sz w:val="28"/>
          <w:szCs w:val="28"/>
        </w:rPr>
      </w:pPr>
    </w:p>
    <w:p w14:paraId="17898DDE" w14:textId="77777777" w:rsidR="00555EBD" w:rsidRPr="00A350D7" w:rsidRDefault="00555EBD" w:rsidP="00CB3AB6">
      <w:pPr>
        <w:suppressLineNumbers/>
        <w:autoSpaceDE w:val="0"/>
        <w:autoSpaceDN w:val="0"/>
        <w:adjustRightInd w:val="0"/>
        <w:jc w:val="center"/>
        <w:rPr>
          <w:rFonts w:cs="Times New Roman"/>
          <w:color w:val="000000"/>
          <w:sz w:val="28"/>
          <w:szCs w:val="28"/>
        </w:rPr>
      </w:pPr>
    </w:p>
    <w:p w14:paraId="131448F4"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PREPARED DIRECT TESTIMONY OF</w:t>
      </w:r>
    </w:p>
    <w:p w14:paraId="0C3F812D"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p>
    <w:p w14:paraId="7B4B483A" w14:textId="74E68D81" w:rsidR="00B070F2" w:rsidRPr="00A350D7" w:rsidRDefault="00065C0B" w:rsidP="00CB3AB6">
      <w:pPr>
        <w:suppressLineNumbers/>
        <w:autoSpaceDE w:val="0"/>
        <w:autoSpaceDN w:val="0"/>
        <w:adjustRightInd w:val="0"/>
        <w:jc w:val="center"/>
        <w:rPr>
          <w:rFonts w:cs="Times New Roman"/>
          <w:b/>
          <w:bCs/>
          <w:color w:val="000000"/>
          <w:sz w:val="28"/>
          <w:szCs w:val="28"/>
        </w:rPr>
      </w:pPr>
      <w:r>
        <w:rPr>
          <w:rFonts w:cs="Times New Roman"/>
          <w:b/>
          <w:bCs/>
          <w:color w:val="000000"/>
          <w:sz w:val="28"/>
          <w:szCs w:val="28"/>
        </w:rPr>
        <w:t>MINDY R. GUARDADO</w:t>
      </w:r>
    </w:p>
    <w:p w14:paraId="121ED1B5"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p>
    <w:p w14:paraId="435FD150"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ON BEHALF OF</w:t>
      </w:r>
    </w:p>
    <w:p w14:paraId="4DEDCB9E"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p>
    <w:p w14:paraId="36A95945" w14:textId="77777777" w:rsidR="00B070F2" w:rsidRPr="00A350D7" w:rsidRDefault="00B070F2" w:rsidP="00CB3AB6">
      <w:pPr>
        <w:suppressLineNumbers/>
        <w:autoSpaceDE w:val="0"/>
        <w:autoSpaceDN w:val="0"/>
        <w:adjustRightInd w:val="0"/>
        <w:jc w:val="center"/>
        <w:rPr>
          <w:rFonts w:cs="Times New Roman"/>
          <w:b/>
          <w:bCs/>
          <w:color w:val="000000"/>
          <w:sz w:val="28"/>
          <w:szCs w:val="28"/>
        </w:rPr>
      </w:pPr>
      <w:r w:rsidRPr="00A350D7">
        <w:rPr>
          <w:rFonts w:cs="Times New Roman"/>
          <w:b/>
          <w:bCs/>
          <w:color w:val="000000"/>
          <w:sz w:val="28"/>
          <w:szCs w:val="28"/>
        </w:rPr>
        <w:t>SAN DIEGO GAS &amp; ELECTRIC COMPANY</w:t>
      </w:r>
    </w:p>
    <w:p w14:paraId="19D282FC" w14:textId="77777777" w:rsidR="00B070F2" w:rsidRPr="00A350D7" w:rsidRDefault="00B070F2" w:rsidP="00CB3AB6">
      <w:pPr>
        <w:suppressLineNumbers/>
        <w:autoSpaceDE w:val="0"/>
        <w:autoSpaceDN w:val="0"/>
        <w:adjustRightInd w:val="0"/>
        <w:jc w:val="center"/>
        <w:rPr>
          <w:rFonts w:cs="Times New Roman"/>
          <w:color w:val="000000"/>
          <w:sz w:val="28"/>
          <w:szCs w:val="28"/>
        </w:rPr>
      </w:pPr>
    </w:p>
    <w:p w14:paraId="3BF7CBFF" w14:textId="77777777" w:rsidR="00B070F2" w:rsidRPr="00A350D7" w:rsidRDefault="00B070F2" w:rsidP="00CB3AB6">
      <w:pPr>
        <w:suppressLineNumbers/>
        <w:autoSpaceDE w:val="0"/>
        <w:autoSpaceDN w:val="0"/>
        <w:adjustRightInd w:val="0"/>
        <w:jc w:val="center"/>
        <w:rPr>
          <w:rFonts w:cs="Times New Roman"/>
          <w:color w:val="000000"/>
          <w:sz w:val="28"/>
          <w:szCs w:val="28"/>
        </w:rPr>
      </w:pPr>
    </w:p>
    <w:p w14:paraId="2C59D64C" w14:textId="77777777" w:rsidR="00B070F2" w:rsidRPr="00A350D7" w:rsidRDefault="00B070F2" w:rsidP="00CB3AB6">
      <w:pPr>
        <w:suppressLineNumbers/>
        <w:autoSpaceDE w:val="0"/>
        <w:autoSpaceDN w:val="0"/>
        <w:adjustRightInd w:val="0"/>
        <w:jc w:val="center"/>
        <w:rPr>
          <w:rFonts w:cs="Times New Roman"/>
          <w:color w:val="000000"/>
          <w:sz w:val="28"/>
          <w:szCs w:val="28"/>
        </w:rPr>
      </w:pPr>
    </w:p>
    <w:p w14:paraId="0D7EE13A" w14:textId="77777777" w:rsidR="00B070F2" w:rsidRDefault="00B070F2" w:rsidP="00CB3AB6">
      <w:pPr>
        <w:suppressLineNumbers/>
        <w:autoSpaceDE w:val="0"/>
        <w:autoSpaceDN w:val="0"/>
        <w:adjustRightInd w:val="0"/>
        <w:jc w:val="center"/>
        <w:rPr>
          <w:rFonts w:cs="Times New Roman"/>
          <w:color w:val="000000"/>
          <w:sz w:val="28"/>
          <w:szCs w:val="28"/>
        </w:rPr>
      </w:pPr>
    </w:p>
    <w:p w14:paraId="579329B6" w14:textId="77777777" w:rsidR="00555EBD" w:rsidRDefault="00555EBD" w:rsidP="00CB3AB6">
      <w:pPr>
        <w:suppressLineNumbers/>
        <w:autoSpaceDE w:val="0"/>
        <w:autoSpaceDN w:val="0"/>
        <w:adjustRightInd w:val="0"/>
        <w:jc w:val="center"/>
        <w:rPr>
          <w:rFonts w:cs="Times New Roman"/>
          <w:color w:val="000000"/>
          <w:sz w:val="28"/>
          <w:szCs w:val="28"/>
        </w:rPr>
      </w:pPr>
    </w:p>
    <w:p w14:paraId="43B41B6F" w14:textId="77777777" w:rsidR="00555EBD" w:rsidRDefault="00555EBD" w:rsidP="00CB3AB6">
      <w:pPr>
        <w:suppressLineNumbers/>
        <w:autoSpaceDE w:val="0"/>
        <w:autoSpaceDN w:val="0"/>
        <w:adjustRightInd w:val="0"/>
        <w:jc w:val="center"/>
        <w:rPr>
          <w:rFonts w:cs="Times New Roman"/>
          <w:color w:val="000000"/>
          <w:sz w:val="28"/>
          <w:szCs w:val="28"/>
        </w:rPr>
      </w:pPr>
    </w:p>
    <w:p w14:paraId="6F8D55E0" w14:textId="77777777" w:rsidR="00555EBD" w:rsidRDefault="00555EBD" w:rsidP="00CB3AB6">
      <w:pPr>
        <w:suppressLineNumbers/>
        <w:autoSpaceDE w:val="0"/>
        <w:autoSpaceDN w:val="0"/>
        <w:adjustRightInd w:val="0"/>
        <w:jc w:val="center"/>
        <w:rPr>
          <w:rFonts w:cs="Times New Roman"/>
          <w:color w:val="000000"/>
          <w:sz w:val="28"/>
          <w:szCs w:val="28"/>
        </w:rPr>
      </w:pPr>
    </w:p>
    <w:p w14:paraId="1C246970" w14:textId="77777777" w:rsidR="00555EBD" w:rsidRDefault="00555EBD" w:rsidP="00CB3AB6">
      <w:pPr>
        <w:suppressLineNumbers/>
        <w:autoSpaceDE w:val="0"/>
        <w:autoSpaceDN w:val="0"/>
        <w:adjustRightInd w:val="0"/>
        <w:jc w:val="center"/>
        <w:rPr>
          <w:rFonts w:cs="Times New Roman"/>
          <w:color w:val="000000"/>
          <w:sz w:val="28"/>
          <w:szCs w:val="28"/>
        </w:rPr>
      </w:pPr>
    </w:p>
    <w:p w14:paraId="3BEDB94A" w14:textId="77777777" w:rsidR="00555EBD" w:rsidRDefault="00555EBD" w:rsidP="00CB3AB6">
      <w:pPr>
        <w:suppressLineNumbers/>
        <w:autoSpaceDE w:val="0"/>
        <w:autoSpaceDN w:val="0"/>
        <w:adjustRightInd w:val="0"/>
        <w:jc w:val="center"/>
        <w:rPr>
          <w:rFonts w:cs="Times New Roman"/>
          <w:color w:val="000000"/>
          <w:sz w:val="28"/>
          <w:szCs w:val="28"/>
        </w:rPr>
      </w:pPr>
    </w:p>
    <w:p w14:paraId="29EA304A" w14:textId="77777777" w:rsidR="00555EBD" w:rsidRDefault="00555EBD" w:rsidP="00CB3AB6">
      <w:pPr>
        <w:suppressLineNumbers/>
        <w:autoSpaceDE w:val="0"/>
        <w:autoSpaceDN w:val="0"/>
        <w:adjustRightInd w:val="0"/>
        <w:jc w:val="center"/>
        <w:rPr>
          <w:rFonts w:cs="Times New Roman"/>
          <w:color w:val="000000"/>
          <w:sz w:val="28"/>
          <w:szCs w:val="28"/>
        </w:rPr>
      </w:pPr>
    </w:p>
    <w:p w14:paraId="184B49A6" w14:textId="77777777" w:rsidR="00555EBD" w:rsidRDefault="00555EBD" w:rsidP="00CB3AB6">
      <w:pPr>
        <w:suppressLineNumbers/>
        <w:autoSpaceDE w:val="0"/>
        <w:autoSpaceDN w:val="0"/>
        <w:adjustRightInd w:val="0"/>
        <w:jc w:val="center"/>
        <w:rPr>
          <w:rFonts w:cs="Times New Roman"/>
          <w:color w:val="000000"/>
          <w:sz w:val="28"/>
          <w:szCs w:val="28"/>
        </w:rPr>
      </w:pPr>
    </w:p>
    <w:p w14:paraId="1B5512B7" w14:textId="77777777" w:rsidR="00555EBD" w:rsidRDefault="00555EBD" w:rsidP="00CB3AB6">
      <w:pPr>
        <w:suppressLineNumbers/>
        <w:autoSpaceDE w:val="0"/>
        <w:autoSpaceDN w:val="0"/>
        <w:adjustRightInd w:val="0"/>
        <w:jc w:val="center"/>
        <w:rPr>
          <w:rFonts w:cs="Times New Roman"/>
          <w:color w:val="000000"/>
          <w:sz w:val="28"/>
          <w:szCs w:val="28"/>
        </w:rPr>
      </w:pPr>
    </w:p>
    <w:p w14:paraId="29BBACCE" w14:textId="77777777" w:rsidR="00555EBD" w:rsidRDefault="00555EBD" w:rsidP="00CB3AB6">
      <w:pPr>
        <w:suppressLineNumbers/>
        <w:autoSpaceDE w:val="0"/>
        <w:autoSpaceDN w:val="0"/>
        <w:adjustRightInd w:val="0"/>
        <w:jc w:val="center"/>
        <w:rPr>
          <w:rFonts w:cs="Times New Roman"/>
          <w:color w:val="000000"/>
          <w:sz w:val="28"/>
          <w:szCs w:val="28"/>
        </w:rPr>
      </w:pPr>
    </w:p>
    <w:p w14:paraId="1FE128C3" w14:textId="77777777" w:rsidR="00555EBD" w:rsidRPr="00A350D7" w:rsidRDefault="00555EBD" w:rsidP="00CB3AB6">
      <w:pPr>
        <w:suppressLineNumbers/>
        <w:autoSpaceDE w:val="0"/>
        <w:autoSpaceDN w:val="0"/>
        <w:adjustRightInd w:val="0"/>
        <w:jc w:val="center"/>
        <w:rPr>
          <w:rFonts w:cs="Times New Roman"/>
          <w:color w:val="000000"/>
          <w:sz w:val="28"/>
          <w:szCs w:val="28"/>
        </w:rPr>
      </w:pPr>
    </w:p>
    <w:p w14:paraId="1BE59716" w14:textId="7588B58C" w:rsidR="00B070F2" w:rsidRPr="00A350D7" w:rsidRDefault="007F1426" w:rsidP="00CB3AB6">
      <w:pPr>
        <w:suppressLineNumbers/>
        <w:autoSpaceDE w:val="0"/>
        <w:autoSpaceDN w:val="0"/>
        <w:adjustRightInd w:val="0"/>
        <w:jc w:val="center"/>
        <w:rPr>
          <w:rFonts w:cs="Times New Roman"/>
          <w:b/>
          <w:bCs/>
          <w:color w:val="000000"/>
          <w:sz w:val="28"/>
          <w:szCs w:val="28"/>
        </w:rPr>
      </w:pPr>
      <w:r>
        <w:rPr>
          <w:rFonts w:cs="Times New Roman"/>
          <w:b/>
          <w:bCs/>
          <w:color w:val="000000"/>
          <w:sz w:val="28"/>
          <w:szCs w:val="28"/>
        </w:rPr>
        <w:t xml:space="preserve">September </w:t>
      </w:r>
      <w:r w:rsidR="00B070F2" w:rsidRPr="00A350D7">
        <w:rPr>
          <w:rFonts w:cs="Times New Roman"/>
          <w:b/>
          <w:bCs/>
          <w:color w:val="000000"/>
          <w:sz w:val="28"/>
          <w:szCs w:val="28"/>
        </w:rPr>
        <w:t>20</w:t>
      </w:r>
      <w:r w:rsidR="005937AE">
        <w:rPr>
          <w:rFonts w:cs="Times New Roman"/>
          <w:b/>
          <w:bCs/>
          <w:color w:val="000000"/>
          <w:sz w:val="28"/>
          <w:szCs w:val="28"/>
        </w:rPr>
        <w:t>2</w:t>
      </w:r>
      <w:r w:rsidR="00065C0B">
        <w:rPr>
          <w:rFonts w:cs="Times New Roman"/>
          <w:b/>
          <w:bCs/>
          <w:color w:val="000000"/>
          <w:sz w:val="28"/>
          <w:szCs w:val="28"/>
        </w:rPr>
        <w:t>6</w:t>
      </w:r>
    </w:p>
    <w:p w14:paraId="51E1DD17" w14:textId="77777777" w:rsidR="00B070F2" w:rsidRPr="00D6761E" w:rsidRDefault="00B070F2" w:rsidP="00CB3AB6">
      <w:pPr>
        <w:suppressLineNumbers/>
        <w:autoSpaceDE w:val="0"/>
        <w:autoSpaceDN w:val="0"/>
        <w:adjustRightInd w:val="0"/>
        <w:rPr>
          <w:rFonts w:cs="Times New Roman"/>
          <w:color w:val="000000"/>
        </w:rPr>
        <w:sectPr w:rsidR="00B070F2" w:rsidRPr="00D6761E" w:rsidSect="00A350D7">
          <w:headerReference w:type="default" r:id="rId11"/>
          <w:footerReference w:type="default" r:id="rId12"/>
          <w:headerReference w:type="first" r:id="rId13"/>
          <w:pgSz w:w="12240" w:h="15840" w:code="1"/>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lnNumType w:countBy="1"/>
          <w:pgNumType w:start="0"/>
          <w:cols w:space="720"/>
          <w:titlePg/>
          <w:docGrid w:linePitch="360"/>
        </w:sectPr>
      </w:pPr>
    </w:p>
    <w:p w14:paraId="60EB9ABD" w14:textId="77777777" w:rsidR="00B070F2" w:rsidRPr="00D6761E" w:rsidRDefault="00B070F2" w:rsidP="00CB3AB6">
      <w:pPr>
        <w:autoSpaceDE w:val="0"/>
        <w:autoSpaceDN w:val="0"/>
        <w:adjustRightInd w:val="0"/>
        <w:spacing w:line="360" w:lineRule="auto"/>
        <w:jc w:val="center"/>
        <w:rPr>
          <w:rFonts w:cs="Times New Roman"/>
          <w:b/>
          <w:bCs/>
          <w:color w:val="000000"/>
        </w:rPr>
      </w:pPr>
      <w:r w:rsidRPr="00D6761E">
        <w:rPr>
          <w:rFonts w:cs="Times New Roman"/>
          <w:b/>
          <w:bCs/>
          <w:color w:val="000000"/>
        </w:rPr>
        <w:lastRenderedPageBreak/>
        <w:t>PREPARED DIRECT TESTIMONY OF</w:t>
      </w:r>
    </w:p>
    <w:p w14:paraId="499C2744" w14:textId="57310702" w:rsidR="00B070F2" w:rsidRPr="00D6761E" w:rsidRDefault="0094609F" w:rsidP="00CB3AB6">
      <w:pPr>
        <w:suppressLineNumbers/>
        <w:autoSpaceDE w:val="0"/>
        <w:autoSpaceDN w:val="0"/>
        <w:adjustRightInd w:val="0"/>
        <w:spacing w:line="360" w:lineRule="auto"/>
        <w:jc w:val="center"/>
        <w:rPr>
          <w:rFonts w:cs="Times New Roman"/>
          <w:b/>
          <w:bCs/>
          <w:color w:val="000000"/>
        </w:rPr>
      </w:pPr>
      <w:r>
        <w:rPr>
          <w:rFonts w:cs="Times New Roman"/>
          <w:b/>
          <w:bCs/>
          <w:color w:val="000000"/>
        </w:rPr>
        <w:t>MINDY R. GUARDADO</w:t>
      </w:r>
    </w:p>
    <w:p w14:paraId="069B370B" w14:textId="77777777" w:rsidR="00B070F2" w:rsidRPr="00D6761E" w:rsidRDefault="00B070F2" w:rsidP="00CB3AB6">
      <w:pPr>
        <w:autoSpaceDE w:val="0"/>
        <w:autoSpaceDN w:val="0"/>
        <w:adjustRightInd w:val="0"/>
        <w:spacing w:line="360" w:lineRule="auto"/>
        <w:jc w:val="center"/>
        <w:rPr>
          <w:rFonts w:cs="Times New Roman"/>
          <w:b/>
          <w:bCs/>
          <w:color w:val="000000"/>
        </w:rPr>
      </w:pPr>
      <w:r w:rsidRPr="00D6761E">
        <w:rPr>
          <w:rFonts w:cs="Times New Roman"/>
          <w:b/>
          <w:bCs/>
          <w:color w:val="000000"/>
        </w:rPr>
        <w:t>ON BEHALF OF</w:t>
      </w:r>
    </w:p>
    <w:p w14:paraId="0B9B6496" w14:textId="77777777" w:rsidR="00B070F2" w:rsidRPr="00D6761E" w:rsidRDefault="00B070F2" w:rsidP="00CB3AB6">
      <w:pPr>
        <w:autoSpaceDE w:val="0"/>
        <w:autoSpaceDN w:val="0"/>
        <w:adjustRightInd w:val="0"/>
        <w:spacing w:line="360" w:lineRule="auto"/>
        <w:jc w:val="center"/>
        <w:rPr>
          <w:rFonts w:cs="Times New Roman"/>
          <w:b/>
          <w:bCs/>
          <w:color w:val="000000"/>
        </w:rPr>
      </w:pPr>
      <w:r w:rsidRPr="00D6761E">
        <w:rPr>
          <w:rFonts w:cs="Times New Roman"/>
          <w:b/>
          <w:bCs/>
          <w:color w:val="000000"/>
        </w:rPr>
        <w:t>SAN DIEGO GAS &amp; ELECTRIC COMPANY</w:t>
      </w:r>
    </w:p>
    <w:p w14:paraId="636E7BD2" w14:textId="09186CE2" w:rsidR="00B070F2" w:rsidRDefault="00B070F2" w:rsidP="00CB3AB6">
      <w:pPr>
        <w:autoSpaceDE w:val="0"/>
        <w:autoSpaceDN w:val="0"/>
        <w:adjustRightInd w:val="0"/>
        <w:spacing w:line="360" w:lineRule="auto"/>
        <w:jc w:val="center"/>
        <w:rPr>
          <w:rFonts w:cs="Times New Roman"/>
          <w:bCs/>
          <w:color w:val="000000"/>
        </w:rPr>
      </w:pPr>
    </w:p>
    <w:p w14:paraId="40095BB8" w14:textId="397FC63F" w:rsidR="00C02BDC" w:rsidRPr="00D6761E" w:rsidRDefault="00C02BDC" w:rsidP="00667224">
      <w:pPr>
        <w:pStyle w:val="Heading1"/>
        <w:rPr>
          <w:rFonts w:cs="Times New Roman"/>
          <w:szCs w:val="24"/>
        </w:rPr>
      </w:pPr>
      <w:r w:rsidRPr="00D6761E">
        <w:rPr>
          <w:rFonts w:cs="Times New Roman"/>
          <w:szCs w:val="24"/>
        </w:rPr>
        <w:t>INTRO</w:t>
      </w:r>
      <w:r>
        <w:rPr>
          <w:rFonts w:cs="Times New Roman"/>
          <w:szCs w:val="24"/>
        </w:rPr>
        <w:t>DUCTION</w:t>
      </w:r>
    </w:p>
    <w:p w14:paraId="2091235F" w14:textId="77777777" w:rsidR="00B070F2" w:rsidRPr="00D6761E" w:rsidRDefault="00B070F2" w:rsidP="00CB3AB6">
      <w:pPr>
        <w:pStyle w:val="BodyText"/>
      </w:pPr>
      <w:r w:rsidRPr="00D6761E">
        <w:t>Q</w:t>
      </w:r>
      <w:r w:rsidR="0005566A">
        <w:t>1</w:t>
      </w:r>
      <w:r w:rsidRPr="00D6761E">
        <w:t>.</w:t>
      </w:r>
      <w:r w:rsidRPr="00D6761E">
        <w:tab/>
        <w:t xml:space="preserve">Please </w:t>
      </w:r>
      <w:r w:rsidRPr="00FF1BEA">
        <w:t>state</w:t>
      </w:r>
      <w:r w:rsidRPr="00D6761E">
        <w:t xml:space="preserve"> your name, position and place of employment.</w:t>
      </w:r>
    </w:p>
    <w:p w14:paraId="7B06C58E" w14:textId="246674CD" w:rsidR="00B070F2" w:rsidRPr="00D6761E" w:rsidRDefault="00B070F2" w:rsidP="00CB3AB6">
      <w:pPr>
        <w:pStyle w:val="BodyText2"/>
      </w:pPr>
      <w:r w:rsidRPr="00D6761E">
        <w:t>A</w:t>
      </w:r>
      <w:r w:rsidR="0005566A">
        <w:t>1</w:t>
      </w:r>
      <w:r w:rsidRPr="00D6761E">
        <w:t>.</w:t>
      </w:r>
      <w:r w:rsidRPr="00D6761E">
        <w:tab/>
        <w:t xml:space="preserve">My name is </w:t>
      </w:r>
      <w:r w:rsidR="00065C0B">
        <w:t>Mindy R. Guardado</w:t>
      </w:r>
      <w:r w:rsidRPr="00D6761E">
        <w:t xml:space="preserve">, and I am a </w:t>
      </w:r>
      <w:r w:rsidR="009169E9">
        <w:t xml:space="preserve">Rates </w:t>
      </w:r>
      <w:r w:rsidR="00065C0B">
        <w:t xml:space="preserve">Lead </w:t>
      </w:r>
      <w:r w:rsidRPr="00D6761E">
        <w:t xml:space="preserve">in the </w:t>
      </w:r>
      <w:r w:rsidR="00C00C2F">
        <w:t>Customer Pricing</w:t>
      </w:r>
      <w:r w:rsidRPr="00D6761E">
        <w:t xml:space="preserve"> department for San Diego Gas &amp; Electric Company (SDG&amp;E). My business address is 8330 Century Park Court, San Diego, CA 92123-1530.</w:t>
      </w:r>
    </w:p>
    <w:p w14:paraId="4DD5D4D1" w14:textId="77777777" w:rsidR="00B070F2" w:rsidRPr="00D6761E" w:rsidRDefault="00B070F2" w:rsidP="00CB3AB6">
      <w:pPr>
        <w:pStyle w:val="BodyText"/>
      </w:pPr>
      <w:r w:rsidRPr="00D6761E">
        <w:t>Q</w:t>
      </w:r>
      <w:r w:rsidR="0005566A">
        <w:t>2</w:t>
      </w:r>
      <w:r w:rsidRPr="00D6761E">
        <w:t>.</w:t>
      </w:r>
      <w:r w:rsidRPr="00D6761E">
        <w:tab/>
        <w:t>Please summarize your education.</w:t>
      </w:r>
    </w:p>
    <w:p w14:paraId="1F523610" w14:textId="6178844E" w:rsidR="00B070F2" w:rsidRPr="00D6761E" w:rsidRDefault="00B070F2" w:rsidP="00CB3AB6">
      <w:pPr>
        <w:pStyle w:val="BodyText2"/>
      </w:pPr>
      <w:r w:rsidRPr="00D6761E">
        <w:t>A</w:t>
      </w:r>
      <w:r w:rsidR="0005566A">
        <w:t>2</w:t>
      </w:r>
      <w:r w:rsidRPr="00D6761E">
        <w:t>.</w:t>
      </w:r>
      <w:r w:rsidRPr="00D6761E">
        <w:tab/>
        <w:t xml:space="preserve">I received a Bachelor of Science degree in </w:t>
      </w:r>
      <w:r w:rsidR="00065C0B">
        <w:t>Business Administration with an emphasis in Accounting</w:t>
      </w:r>
      <w:r w:rsidRPr="00D6761E">
        <w:t xml:space="preserve"> from </w:t>
      </w:r>
      <w:r w:rsidR="00065C0B">
        <w:t xml:space="preserve">California State University, San Marcos </w:t>
      </w:r>
      <w:r w:rsidRPr="00D6761E">
        <w:t xml:space="preserve">in </w:t>
      </w:r>
      <w:r w:rsidR="00065C0B">
        <w:t>2019</w:t>
      </w:r>
      <w:r w:rsidRPr="00D6761E">
        <w:t>.</w:t>
      </w:r>
    </w:p>
    <w:p w14:paraId="2FF0B903" w14:textId="7E8A61DD" w:rsidR="00B070F2" w:rsidRPr="00D6761E" w:rsidRDefault="00B070F2" w:rsidP="00CB3AB6">
      <w:pPr>
        <w:pStyle w:val="BodyText"/>
      </w:pPr>
      <w:r w:rsidRPr="00D6761E">
        <w:t>Q</w:t>
      </w:r>
      <w:r w:rsidR="0005566A">
        <w:t>3</w:t>
      </w:r>
      <w:r w:rsidRPr="00D6761E">
        <w:t>.</w:t>
      </w:r>
      <w:r w:rsidRPr="00D6761E">
        <w:tab/>
        <w:t xml:space="preserve">Please describe your current responsibilities </w:t>
      </w:r>
      <w:r w:rsidR="00C02BDC">
        <w:t>and p</w:t>
      </w:r>
      <w:r w:rsidRPr="00D6761E">
        <w:t>rior experience before coming to SDG&amp;E.</w:t>
      </w:r>
    </w:p>
    <w:p w14:paraId="40F68095" w14:textId="18A9BDB6" w:rsidR="00B070F2" w:rsidRPr="002516CC" w:rsidRDefault="00B070F2" w:rsidP="00CB3AB6">
      <w:pPr>
        <w:pStyle w:val="BodyText2"/>
        <w:rPr>
          <w:color w:val="000000" w:themeColor="text1"/>
        </w:rPr>
      </w:pPr>
      <w:r w:rsidRPr="00D6761E">
        <w:t>A</w:t>
      </w:r>
      <w:r w:rsidR="0005566A">
        <w:t>3</w:t>
      </w:r>
      <w:r w:rsidRPr="00D6761E">
        <w:t>.</w:t>
      </w:r>
      <w:r w:rsidRPr="00D6761E">
        <w:tab/>
      </w:r>
      <w:r w:rsidRPr="002516CC">
        <w:rPr>
          <w:color w:val="000000" w:themeColor="text1"/>
        </w:rPr>
        <w:t xml:space="preserve">My primary responsibilities include the development </w:t>
      </w:r>
      <w:r w:rsidR="00EF6067">
        <w:rPr>
          <w:color w:val="000000" w:themeColor="text1"/>
        </w:rPr>
        <w:t>and</w:t>
      </w:r>
      <w:r w:rsidRPr="002516CC">
        <w:rPr>
          <w:color w:val="000000" w:themeColor="text1"/>
        </w:rPr>
        <w:t xml:space="preserve"> determination of revenue allocation and electric rate design methods, analysis of ratemaking theories, and preparation of various regulatory filings.  I have worked for SDG&amp;E since </w:t>
      </w:r>
      <w:r w:rsidR="002516CC" w:rsidRPr="002516CC">
        <w:rPr>
          <w:color w:val="000000" w:themeColor="text1"/>
        </w:rPr>
        <w:t>June</w:t>
      </w:r>
      <w:r w:rsidRPr="002516CC">
        <w:rPr>
          <w:color w:val="000000" w:themeColor="text1"/>
        </w:rPr>
        <w:t xml:space="preserve"> 20</w:t>
      </w:r>
      <w:r w:rsidR="002516CC" w:rsidRPr="002516CC">
        <w:rPr>
          <w:color w:val="000000" w:themeColor="text1"/>
        </w:rPr>
        <w:t>19</w:t>
      </w:r>
      <w:r w:rsidR="002516CC">
        <w:rPr>
          <w:color w:val="000000" w:themeColor="text1"/>
        </w:rPr>
        <w:t xml:space="preserve"> and</w:t>
      </w:r>
      <w:r w:rsidR="002516CC" w:rsidRPr="002516CC">
        <w:rPr>
          <w:color w:val="000000" w:themeColor="text1"/>
        </w:rPr>
        <w:t xml:space="preserve"> held various positions of increasing responsibility in both SDG&amp;E and Sempra, the parent company of SDG&amp;E</w:t>
      </w:r>
      <w:r w:rsidRPr="002516CC">
        <w:rPr>
          <w:color w:val="000000" w:themeColor="text1"/>
        </w:rPr>
        <w:t>.</w:t>
      </w:r>
    </w:p>
    <w:p w14:paraId="4BAF9B76" w14:textId="3E688DEF" w:rsidR="00B070F2" w:rsidRPr="002516CC" w:rsidRDefault="00B070F2" w:rsidP="23D4C5F0">
      <w:pPr>
        <w:pStyle w:val="BodyText3"/>
        <w:ind w:firstLine="0"/>
        <w:rPr>
          <w:color w:val="000000" w:themeColor="text1"/>
        </w:rPr>
      </w:pPr>
      <w:r w:rsidRPr="002516CC">
        <w:rPr>
          <w:color w:val="000000" w:themeColor="text1"/>
        </w:rPr>
        <w:t xml:space="preserve">I have previously submitted testimony before the </w:t>
      </w:r>
      <w:r w:rsidR="009169E9" w:rsidRPr="002516CC">
        <w:rPr>
          <w:color w:val="000000" w:themeColor="text1"/>
        </w:rPr>
        <w:t>Federal Energy Regulatory Commission (FERC</w:t>
      </w:r>
      <w:r w:rsidR="009312C8">
        <w:rPr>
          <w:color w:val="000000" w:themeColor="text1"/>
        </w:rPr>
        <w:t xml:space="preserve"> or Commission</w:t>
      </w:r>
      <w:r w:rsidR="009169E9" w:rsidRPr="002516CC">
        <w:rPr>
          <w:color w:val="000000" w:themeColor="text1"/>
        </w:rPr>
        <w:t xml:space="preserve">) and the </w:t>
      </w:r>
      <w:r w:rsidRPr="002516CC">
        <w:rPr>
          <w:color w:val="000000" w:themeColor="text1"/>
        </w:rPr>
        <w:t xml:space="preserve">California Public Utilities Commission (CPUC) regarding SDG&amp;E’s electric rate design and other regulatory </w:t>
      </w:r>
      <w:r w:rsidR="009169E9" w:rsidRPr="002516CC">
        <w:rPr>
          <w:color w:val="000000" w:themeColor="text1"/>
        </w:rPr>
        <w:t>issues</w:t>
      </w:r>
      <w:r w:rsidRPr="002516CC">
        <w:rPr>
          <w:color w:val="000000" w:themeColor="text1"/>
        </w:rPr>
        <w:t>.</w:t>
      </w:r>
    </w:p>
    <w:p w14:paraId="2AEBD4B6" w14:textId="22E6B673" w:rsidR="00B070F2" w:rsidRPr="00D37F8B" w:rsidRDefault="00B070F2" w:rsidP="00CB3AB6">
      <w:pPr>
        <w:pStyle w:val="Heading1"/>
        <w:rPr>
          <w:color w:val="000000" w:themeColor="text1"/>
        </w:rPr>
      </w:pPr>
      <w:r w:rsidRPr="00D37F8B">
        <w:rPr>
          <w:color w:val="000000" w:themeColor="text1"/>
        </w:rPr>
        <w:t>ORGANIZATION OF TESTIMONY</w:t>
      </w:r>
    </w:p>
    <w:p w14:paraId="344C119A" w14:textId="77777777" w:rsidR="00B070F2" w:rsidRPr="00D37F8B" w:rsidRDefault="00B070F2" w:rsidP="00CB3AB6">
      <w:pPr>
        <w:pStyle w:val="BodyText"/>
        <w:rPr>
          <w:color w:val="000000" w:themeColor="text1"/>
        </w:rPr>
      </w:pPr>
      <w:r w:rsidRPr="00D37F8B">
        <w:rPr>
          <w:color w:val="000000" w:themeColor="text1"/>
        </w:rPr>
        <w:t>Q</w:t>
      </w:r>
      <w:r w:rsidR="0005566A" w:rsidRPr="00D37F8B">
        <w:rPr>
          <w:color w:val="000000" w:themeColor="text1"/>
        </w:rPr>
        <w:t>4</w:t>
      </w:r>
      <w:r w:rsidRPr="00D37F8B">
        <w:rPr>
          <w:color w:val="000000" w:themeColor="text1"/>
        </w:rPr>
        <w:t>.</w:t>
      </w:r>
      <w:r w:rsidRPr="00D37F8B">
        <w:rPr>
          <w:color w:val="000000" w:themeColor="text1"/>
        </w:rPr>
        <w:tab/>
        <w:t>How is your testimony organized?</w:t>
      </w:r>
    </w:p>
    <w:p w14:paraId="654BFF5C" w14:textId="58F0A660" w:rsidR="00B070F2" w:rsidRPr="00D37F8B" w:rsidRDefault="00B070F2" w:rsidP="00CB3AB6">
      <w:pPr>
        <w:pStyle w:val="BodyText"/>
        <w:rPr>
          <w:color w:val="000000" w:themeColor="text1"/>
        </w:rPr>
      </w:pPr>
      <w:r w:rsidRPr="00D37F8B">
        <w:rPr>
          <w:color w:val="000000" w:themeColor="text1"/>
        </w:rPr>
        <w:lastRenderedPageBreak/>
        <w:t>A</w:t>
      </w:r>
      <w:r w:rsidR="0005566A" w:rsidRPr="00D37F8B">
        <w:rPr>
          <w:color w:val="000000" w:themeColor="text1"/>
        </w:rPr>
        <w:t>4</w:t>
      </w:r>
      <w:r w:rsidRPr="00D37F8B">
        <w:rPr>
          <w:color w:val="000000" w:themeColor="text1"/>
        </w:rPr>
        <w:t>.</w:t>
      </w:r>
      <w:r w:rsidRPr="00D37F8B">
        <w:rPr>
          <w:color w:val="000000" w:themeColor="text1"/>
        </w:rPr>
        <w:tab/>
        <w:t>My testimony is organized into the following sections:</w:t>
      </w:r>
    </w:p>
    <w:p w14:paraId="79A36213" w14:textId="6F342FD3" w:rsidR="00C02BDC" w:rsidRPr="00D37F8B" w:rsidRDefault="00B070F2" w:rsidP="00CB3AB6">
      <w:pPr>
        <w:autoSpaceDE w:val="0"/>
        <w:autoSpaceDN w:val="0"/>
        <w:adjustRightInd w:val="0"/>
        <w:spacing w:line="480" w:lineRule="auto"/>
        <w:ind w:left="1440" w:hanging="720"/>
        <w:rPr>
          <w:rFonts w:cs="Times New Roman"/>
          <w:color w:val="000000" w:themeColor="text1"/>
        </w:rPr>
      </w:pPr>
      <w:r w:rsidRPr="00D37F8B">
        <w:rPr>
          <w:rFonts w:cs="Times New Roman"/>
          <w:color w:val="000000" w:themeColor="text1"/>
        </w:rPr>
        <w:t>I.</w:t>
      </w:r>
      <w:r w:rsidRPr="00D37F8B">
        <w:rPr>
          <w:rFonts w:cs="Times New Roman"/>
          <w:color w:val="000000" w:themeColor="text1"/>
        </w:rPr>
        <w:tab/>
      </w:r>
      <w:r w:rsidR="00C02BDC" w:rsidRPr="00D37F8B">
        <w:rPr>
          <w:rFonts w:cs="Times New Roman"/>
          <w:color w:val="000000" w:themeColor="text1"/>
        </w:rPr>
        <w:t>Introduction</w:t>
      </w:r>
    </w:p>
    <w:p w14:paraId="2F905207" w14:textId="699980FD" w:rsidR="00B070F2" w:rsidRPr="00D37F8B" w:rsidRDefault="00C02BDC" w:rsidP="00CB3AB6">
      <w:pPr>
        <w:autoSpaceDE w:val="0"/>
        <w:autoSpaceDN w:val="0"/>
        <w:adjustRightInd w:val="0"/>
        <w:spacing w:line="480" w:lineRule="auto"/>
        <w:ind w:left="1440" w:hanging="720"/>
        <w:rPr>
          <w:rFonts w:cs="Times New Roman"/>
          <w:color w:val="000000" w:themeColor="text1"/>
        </w:rPr>
      </w:pPr>
      <w:r w:rsidRPr="00D37F8B">
        <w:rPr>
          <w:rFonts w:cs="Times New Roman"/>
          <w:color w:val="000000" w:themeColor="text1"/>
        </w:rPr>
        <w:t>II.</w:t>
      </w:r>
      <w:r w:rsidRPr="00D37F8B">
        <w:rPr>
          <w:rFonts w:cs="Times New Roman"/>
          <w:color w:val="000000" w:themeColor="text1"/>
        </w:rPr>
        <w:tab/>
      </w:r>
      <w:r w:rsidR="00B070F2" w:rsidRPr="00D37F8B">
        <w:rPr>
          <w:rFonts w:cs="Times New Roman"/>
          <w:color w:val="000000" w:themeColor="text1"/>
        </w:rPr>
        <w:t>Organization of Testimony</w:t>
      </w:r>
    </w:p>
    <w:p w14:paraId="4EA795B5" w14:textId="358DE93F" w:rsidR="00B070F2" w:rsidRPr="00D37F8B" w:rsidRDefault="007E3875" w:rsidP="00CB3AB6">
      <w:pPr>
        <w:autoSpaceDE w:val="0"/>
        <w:autoSpaceDN w:val="0"/>
        <w:adjustRightInd w:val="0"/>
        <w:spacing w:line="480" w:lineRule="auto"/>
        <w:ind w:left="1440" w:hanging="720"/>
        <w:rPr>
          <w:rFonts w:cs="Times New Roman"/>
          <w:color w:val="000000" w:themeColor="text1"/>
        </w:rPr>
      </w:pPr>
      <w:r w:rsidRPr="00D37F8B">
        <w:rPr>
          <w:rFonts w:cs="Times New Roman"/>
          <w:color w:val="000000" w:themeColor="text1"/>
        </w:rPr>
        <w:t>II</w:t>
      </w:r>
      <w:r w:rsidR="00C02BDC" w:rsidRPr="00D37F8B">
        <w:rPr>
          <w:rFonts w:cs="Times New Roman"/>
          <w:color w:val="000000" w:themeColor="text1"/>
        </w:rPr>
        <w:t>I</w:t>
      </w:r>
      <w:r w:rsidRPr="00D37F8B">
        <w:rPr>
          <w:rFonts w:cs="Times New Roman"/>
          <w:color w:val="000000" w:themeColor="text1"/>
        </w:rPr>
        <w:t>.</w:t>
      </w:r>
      <w:r w:rsidR="00B070F2" w:rsidRPr="00D37F8B">
        <w:rPr>
          <w:rFonts w:cs="Times New Roman"/>
          <w:color w:val="000000" w:themeColor="text1"/>
        </w:rPr>
        <w:tab/>
        <w:t>Purpose of Testimony</w:t>
      </w:r>
    </w:p>
    <w:p w14:paraId="229DE9AE" w14:textId="1C2BB867" w:rsidR="00B57877" w:rsidRPr="00D37F8B" w:rsidRDefault="00C02BDC" w:rsidP="00CB3AB6">
      <w:pPr>
        <w:autoSpaceDE w:val="0"/>
        <w:autoSpaceDN w:val="0"/>
        <w:adjustRightInd w:val="0"/>
        <w:spacing w:line="480" w:lineRule="auto"/>
        <w:ind w:left="1440" w:hanging="720"/>
        <w:rPr>
          <w:rFonts w:cs="Times New Roman"/>
          <w:color w:val="000000" w:themeColor="text1"/>
        </w:rPr>
      </w:pPr>
      <w:r w:rsidRPr="00D37F8B">
        <w:rPr>
          <w:rFonts w:cs="Times New Roman"/>
          <w:color w:val="000000" w:themeColor="text1"/>
        </w:rPr>
        <w:t>IV</w:t>
      </w:r>
      <w:r w:rsidR="00B070F2" w:rsidRPr="00D37F8B">
        <w:rPr>
          <w:rFonts w:cs="Times New Roman"/>
          <w:color w:val="000000" w:themeColor="text1"/>
        </w:rPr>
        <w:t>.</w:t>
      </w:r>
      <w:r w:rsidR="00B070F2" w:rsidRPr="00D37F8B">
        <w:rPr>
          <w:rFonts w:cs="Times New Roman"/>
          <w:color w:val="000000" w:themeColor="text1"/>
        </w:rPr>
        <w:tab/>
      </w:r>
      <w:r w:rsidR="00B57877" w:rsidRPr="00D37F8B">
        <w:rPr>
          <w:rFonts w:cs="Times New Roman"/>
          <w:color w:val="000000" w:themeColor="text1"/>
        </w:rPr>
        <w:t>Proposed End-Use-Customer Rate Design Changes:</w:t>
      </w:r>
    </w:p>
    <w:p w14:paraId="78BD5416" w14:textId="05690584" w:rsidR="00793A93" w:rsidRDefault="002516CC" w:rsidP="00CB3AB6">
      <w:pPr>
        <w:pStyle w:val="ListParagraph"/>
        <w:numPr>
          <w:ilvl w:val="0"/>
          <w:numId w:val="2"/>
        </w:numPr>
        <w:autoSpaceDE w:val="0"/>
        <w:autoSpaceDN w:val="0"/>
        <w:adjustRightInd w:val="0"/>
        <w:spacing w:line="480" w:lineRule="auto"/>
        <w:ind w:left="2160" w:hanging="720"/>
        <w:contextualSpacing w:val="0"/>
        <w:rPr>
          <w:rFonts w:cs="Times New Roman"/>
          <w:color w:val="000000" w:themeColor="text1"/>
        </w:rPr>
      </w:pPr>
      <w:r w:rsidRPr="00D37F8B">
        <w:rPr>
          <w:rFonts w:cs="Times New Roman"/>
          <w:color w:val="000000" w:themeColor="text1"/>
        </w:rPr>
        <w:t>Create separate</w:t>
      </w:r>
      <w:r w:rsidR="00B57877" w:rsidRPr="00D37F8B">
        <w:rPr>
          <w:rFonts w:cs="Times New Roman"/>
          <w:color w:val="000000" w:themeColor="text1"/>
        </w:rPr>
        <w:t xml:space="preserve"> </w:t>
      </w:r>
      <w:r w:rsidR="003A6DC4">
        <w:rPr>
          <w:rFonts w:cs="Times New Roman"/>
          <w:color w:val="000000" w:themeColor="text1"/>
        </w:rPr>
        <w:t xml:space="preserve">FERC </w:t>
      </w:r>
      <w:r w:rsidR="00B57877" w:rsidRPr="00D37F8B">
        <w:rPr>
          <w:rFonts w:cs="Times New Roman"/>
          <w:color w:val="000000" w:themeColor="text1"/>
        </w:rPr>
        <w:t xml:space="preserve">Base Transmission and Revenue Requirement (BTRR) </w:t>
      </w:r>
      <w:r w:rsidR="00B57877" w:rsidRPr="00B608D1">
        <w:rPr>
          <w:rFonts w:cs="Times New Roman"/>
        </w:rPr>
        <w:t>and Reliability Service</w:t>
      </w:r>
      <w:r w:rsidR="00A57BFD" w:rsidRPr="00B608D1">
        <w:rPr>
          <w:rFonts w:cs="Times New Roman"/>
        </w:rPr>
        <w:t>s</w:t>
      </w:r>
      <w:r w:rsidR="00B57877" w:rsidRPr="00B608D1">
        <w:rPr>
          <w:rFonts w:cs="Times New Roman"/>
        </w:rPr>
        <w:t xml:space="preserve"> (RS) </w:t>
      </w:r>
      <w:r w:rsidR="00B57877" w:rsidRPr="00D37F8B">
        <w:rPr>
          <w:rFonts w:cs="Times New Roman"/>
          <w:color w:val="000000" w:themeColor="text1"/>
        </w:rPr>
        <w:t xml:space="preserve">rates </w:t>
      </w:r>
      <w:r w:rsidRPr="00D37F8B">
        <w:rPr>
          <w:rFonts w:cs="Times New Roman"/>
          <w:color w:val="000000" w:themeColor="text1"/>
        </w:rPr>
        <w:t xml:space="preserve">for </w:t>
      </w:r>
      <w:r w:rsidR="009312C8">
        <w:rPr>
          <w:rFonts w:cs="Times New Roman"/>
          <w:color w:val="000000" w:themeColor="text1"/>
        </w:rPr>
        <w:t xml:space="preserve">SDG&amp;E’s </w:t>
      </w:r>
      <w:r w:rsidRPr="00D37F8B">
        <w:rPr>
          <w:rFonts w:cs="Times New Roman"/>
          <w:color w:val="000000" w:themeColor="text1"/>
        </w:rPr>
        <w:t>Medium Commercial customer class</w:t>
      </w:r>
      <w:r w:rsidR="00793A93">
        <w:rPr>
          <w:rFonts w:cs="Times New Roman"/>
          <w:color w:val="000000" w:themeColor="text1"/>
        </w:rPr>
        <w:t>;</w:t>
      </w:r>
    </w:p>
    <w:p w14:paraId="782AC459" w14:textId="66CB612B" w:rsidR="002516CC" w:rsidRDefault="002516CC" w:rsidP="00CB3AB6">
      <w:pPr>
        <w:pStyle w:val="ListParagraph"/>
        <w:numPr>
          <w:ilvl w:val="0"/>
          <w:numId w:val="2"/>
        </w:numPr>
        <w:autoSpaceDE w:val="0"/>
        <w:autoSpaceDN w:val="0"/>
        <w:adjustRightInd w:val="0"/>
        <w:spacing w:line="480" w:lineRule="auto"/>
        <w:ind w:left="2160" w:hanging="720"/>
        <w:contextualSpacing w:val="0"/>
        <w:rPr>
          <w:rFonts w:cs="Times New Roman"/>
          <w:color w:val="000000" w:themeColor="text1"/>
        </w:rPr>
      </w:pPr>
      <w:r w:rsidRPr="00D37F8B">
        <w:rPr>
          <w:rFonts w:cs="Times New Roman"/>
          <w:color w:val="000000" w:themeColor="text1"/>
        </w:rPr>
        <w:t xml:space="preserve">Update the treatment </w:t>
      </w:r>
      <w:r w:rsidR="00D37F8B" w:rsidRPr="00D37F8B">
        <w:rPr>
          <w:rFonts w:cs="Times New Roman"/>
          <w:color w:val="000000" w:themeColor="text1"/>
        </w:rPr>
        <w:t>of historical sales and demand factors</w:t>
      </w:r>
      <w:r w:rsidR="007A7D30">
        <w:rPr>
          <w:rFonts w:cs="Times New Roman"/>
          <w:color w:val="000000" w:themeColor="text1"/>
        </w:rPr>
        <w:t xml:space="preserve"> when historical usage becomes zero; and</w:t>
      </w:r>
    </w:p>
    <w:p w14:paraId="151CBE61" w14:textId="60BA18E1" w:rsidR="00FF2C6F" w:rsidRPr="00D37F8B" w:rsidRDefault="00FF2C6F" w:rsidP="00CB3AB6">
      <w:pPr>
        <w:pStyle w:val="ListParagraph"/>
        <w:numPr>
          <w:ilvl w:val="0"/>
          <w:numId w:val="2"/>
        </w:numPr>
        <w:autoSpaceDE w:val="0"/>
        <w:autoSpaceDN w:val="0"/>
        <w:adjustRightInd w:val="0"/>
        <w:spacing w:line="480" w:lineRule="auto"/>
        <w:ind w:left="2160" w:hanging="720"/>
        <w:contextualSpacing w:val="0"/>
        <w:rPr>
          <w:rFonts w:cs="Times New Roman"/>
          <w:color w:val="000000" w:themeColor="text1"/>
        </w:rPr>
      </w:pPr>
      <w:r>
        <w:rPr>
          <w:rFonts w:cs="Times New Roman"/>
          <w:color w:val="000000" w:themeColor="text1"/>
        </w:rPr>
        <w:t>Miscellaneous Matters</w:t>
      </w:r>
    </w:p>
    <w:p w14:paraId="04C73D59" w14:textId="49F2C0BA" w:rsidR="00B070F2" w:rsidRPr="00D37F8B" w:rsidRDefault="00B070F2" w:rsidP="00CB3AB6">
      <w:pPr>
        <w:autoSpaceDE w:val="0"/>
        <w:autoSpaceDN w:val="0"/>
        <w:adjustRightInd w:val="0"/>
        <w:spacing w:line="480" w:lineRule="auto"/>
        <w:ind w:left="1440" w:hanging="720"/>
        <w:rPr>
          <w:rFonts w:cs="Times New Roman"/>
          <w:color w:val="000000" w:themeColor="text1"/>
        </w:rPr>
      </w:pPr>
      <w:r w:rsidRPr="00D37F8B">
        <w:rPr>
          <w:rFonts w:cs="Times New Roman"/>
          <w:color w:val="000000" w:themeColor="text1"/>
        </w:rPr>
        <w:t>V.</w:t>
      </w:r>
      <w:r w:rsidRPr="00D37F8B">
        <w:rPr>
          <w:rFonts w:cs="Times New Roman"/>
          <w:color w:val="000000" w:themeColor="text1"/>
        </w:rPr>
        <w:tab/>
        <w:t>Revisions to Statements</w:t>
      </w:r>
      <w:r w:rsidR="00D37F8B" w:rsidRPr="00D37F8B">
        <w:rPr>
          <w:rFonts w:cs="Times New Roman"/>
          <w:color w:val="000000" w:themeColor="text1"/>
        </w:rPr>
        <w:t xml:space="preserve"> BB, BD,</w:t>
      </w:r>
      <w:r w:rsidRPr="00D37F8B">
        <w:rPr>
          <w:rFonts w:cs="Times New Roman"/>
          <w:color w:val="000000" w:themeColor="text1"/>
        </w:rPr>
        <w:t xml:space="preserve"> </w:t>
      </w:r>
      <w:r w:rsidR="00C05CBE" w:rsidRPr="00D37F8B">
        <w:rPr>
          <w:rFonts w:cs="Times New Roman"/>
          <w:color w:val="000000" w:themeColor="text1"/>
        </w:rPr>
        <w:t>BL, BG</w:t>
      </w:r>
      <w:r w:rsidR="00894AC2" w:rsidRPr="00D37F8B">
        <w:rPr>
          <w:rFonts w:cs="Times New Roman"/>
          <w:color w:val="000000" w:themeColor="text1"/>
        </w:rPr>
        <w:t>,</w:t>
      </w:r>
      <w:r w:rsidR="00C05CBE" w:rsidRPr="00D37F8B">
        <w:rPr>
          <w:rFonts w:cs="Times New Roman"/>
          <w:color w:val="000000" w:themeColor="text1"/>
        </w:rPr>
        <w:t xml:space="preserve"> and BH </w:t>
      </w:r>
      <w:r w:rsidRPr="00D37F8B">
        <w:rPr>
          <w:rFonts w:cs="Times New Roman"/>
          <w:color w:val="000000" w:themeColor="text1"/>
        </w:rPr>
        <w:t>to Reflect Proposed Rate Design</w:t>
      </w:r>
      <w:r w:rsidR="00B57877" w:rsidRPr="00D37F8B">
        <w:rPr>
          <w:rFonts w:cs="Times New Roman"/>
          <w:color w:val="000000" w:themeColor="text1"/>
        </w:rPr>
        <w:t xml:space="preserve"> Changes</w:t>
      </w:r>
    </w:p>
    <w:p w14:paraId="55BE4F7D" w14:textId="03BE0945" w:rsidR="00585364" w:rsidRPr="00B608D1" w:rsidRDefault="00D6761E" w:rsidP="00CB3AB6">
      <w:pPr>
        <w:autoSpaceDE w:val="0"/>
        <w:autoSpaceDN w:val="0"/>
        <w:adjustRightInd w:val="0"/>
        <w:spacing w:line="480" w:lineRule="auto"/>
        <w:ind w:left="1440" w:hanging="720"/>
        <w:rPr>
          <w:rFonts w:cs="Times New Roman"/>
        </w:rPr>
      </w:pPr>
      <w:r w:rsidRPr="00B608D1">
        <w:rPr>
          <w:rFonts w:cs="Times New Roman"/>
        </w:rPr>
        <w:t>V</w:t>
      </w:r>
      <w:r w:rsidR="00C02BDC" w:rsidRPr="00B608D1">
        <w:rPr>
          <w:rFonts w:cs="Times New Roman"/>
        </w:rPr>
        <w:t>I</w:t>
      </w:r>
      <w:r w:rsidRPr="00B608D1">
        <w:rPr>
          <w:rFonts w:cs="Times New Roman"/>
        </w:rPr>
        <w:t>.</w:t>
      </w:r>
      <w:r w:rsidRPr="00B608D1">
        <w:rPr>
          <w:rFonts w:cs="Times New Roman"/>
        </w:rPr>
        <w:tab/>
      </w:r>
      <w:r w:rsidR="00380FF6" w:rsidRPr="00B608D1">
        <w:rPr>
          <w:rFonts w:cs="Times New Roman"/>
        </w:rPr>
        <w:t>Revisions</w:t>
      </w:r>
      <w:r w:rsidRPr="00B608D1">
        <w:rPr>
          <w:rFonts w:cs="Times New Roman"/>
        </w:rPr>
        <w:t xml:space="preserve"> to Appendi</w:t>
      </w:r>
      <w:r w:rsidR="00585364" w:rsidRPr="00B608D1">
        <w:rPr>
          <w:rFonts w:cs="Times New Roman"/>
        </w:rPr>
        <w:t>x</w:t>
      </w:r>
      <w:r w:rsidRPr="00B608D1">
        <w:rPr>
          <w:rFonts w:cs="Times New Roman"/>
        </w:rPr>
        <w:t xml:space="preserve"> </w:t>
      </w:r>
      <w:r w:rsidR="00B75CF7" w:rsidRPr="00B608D1">
        <w:rPr>
          <w:rFonts w:cs="Times New Roman"/>
        </w:rPr>
        <w:t>V</w:t>
      </w:r>
      <w:r w:rsidR="002D418C" w:rsidRPr="00B608D1">
        <w:rPr>
          <w:rFonts w:cs="Times New Roman"/>
        </w:rPr>
        <w:t>II</w:t>
      </w:r>
      <w:r w:rsidR="00085C3E" w:rsidRPr="00B608D1">
        <w:rPr>
          <w:rFonts w:cs="Times New Roman"/>
        </w:rPr>
        <w:t xml:space="preserve"> </w:t>
      </w:r>
    </w:p>
    <w:p w14:paraId="6A892D09" w14:textId="7289D244" w:rsidR="00D6761E" w:rsidRPr="004D3DC7" w:rsidRDefault="00585364" w:rsidP="00CB3AB6">
      <w:pPr>
        <w:autoSpaceDE w:val="0"/>
        <w:autoSpaceDN w:val="0"/>
        <w:adjustRightInd w:val="0"/>
        <w:spacing w:line="480" w:lineRule="auto"/>
        <w:ind w:left="1440" w:hanging="720"/>
        <w:rPr>
          <w:rFonts w:cs="Times New Roman"/>
        </w:rPr>
      </w:pPr>
      <w:r w:rsidRPr="00F77580">
        <w:rPr>
          <w:rFonts w:cs="Times New Roman"/>
        </w:rPr>
        <w:t>V</w:t>
      </w:r>
      <w:r w:rsidR="00C02BDC" w:rsidRPr="00F77580">
        <w:rPr>
          <w:rFonts w:cs="Times New Roman"/>
        </w:rPr>
        <w:t>I</w:t>
      </w:r>
      <w:r w:rsidRPr="00F77580">
        <w:rPr>
          <w:rFonts w:cs="Times New Roman"/>
        </w:rPr>
        <w:t>I.</w:t>
      </w:r>
      <w:r w:rsidRPr="00F77580">
        <w:rPr>
          <w:rFonts w:cs="Times New Roman"/>
        </w:rPr>
        <w:tab/>
        <w:t>Revisions to Appendix I</w:t>
      </w:r>
      <w:r w:rsidR="00B75CF7" w:rsidRPr="00F77580">
        <w:rPr>
          <w:rFonts w:cs="Times New Roman"/>
        </w:rPr>
        <w:t>X</w:t>
      </w:r>
    </w:p>
    <w:p w14:paraId="2B91AAD5" w14:textId="6AA46C22" w:rsidR="00B070F2" w:rsidRPr="00065C0B" w:rsidRDefault="00B070F2" w:rsidP="00CB3AB6">
      <w:pPr>
        <w:autoSpaceDE w:val="0"/>
        <w:autoSpaceDN w:val="0"/>
        <w:adjustRightInd w:val="0"/>
        <w:spacing w:line="480" w:lineRule="auto"/>
        <w:ind w:left="1440" w:hanging="720"/>
        <w:rPr>
          <w:rFonts w:cs="Times New Roman"/>
          <w:color w:val="EE0000"/>
        </w:rPr>
      </w:pPr>
      <w:r w:rsidRPr="00BA5107">
        <w:rPr>
          <w:rFonts w:cs="Times New Roman"/>
        </w:rPr>
        <w:t>V</w:t>
      </w:r>
      <w:r w:rsidR="00D6761E" w:rsidRPr="00BA5107">
        <w:rPr>
          <w:rFonts w:cs="Times New Roman"/>
        </w:rPr>
        <w:t>I</w:t>
      </w:r>
      <w:r w:rsidR="00585364" w:rsidRPr="00BA5107">
        <w:rPr>
          <w:rFonts w:cs="Times New Roman"/>
        </w:rPr>
        <w:t>I</w:t>
      </w:r>
      <w:r w:rsidR="00C02BDC" w:rsidRPr="00BA5107">
        <w:rPr>
          <w:rFonts w:cs="Times New Roman"/>
        </w:rPr>
        <w:t>I</w:t>
      </w:r>
      <w:r w:rsidRPr="00065C0B">
        <w:rPr>
          <w:rFonts w:cs="Times New Roman"/>
          <w:color w:val="EE0000"/>
        </w:rPr>
        <w:t>.</w:t>
      </w:r>
      <w:r w:rsidRPr="00065C0B">
        <w:rPr>
          <w:rFonts w:cs="Times New Roman"/>
          <w:color w:val="EE0000"/>
        </w:rPr>
        <w:tab/>
      </w:r>
      <w:r w:rsidR="00C02BDC" w:rsidRPr="00D37F8B">
        <w:rPr>
          <w:rFonts w:cs="Times New Roman"/>
          <w:color w:val="000000" w:themeColor="text1"/>
        </w:rPr>
        <w:t>Conclusion</w:t>
      </w:r>
    </w:p>
    <w:p w14:paraId="0E536AD3" w14:textId="6134E544" w:rsidR="00B070F2" w:rsidRPr="00D37F8B" w:rsidRDefault="00B070F2" w:rsidP="00CB3AB6">
      <w:pPr>
        <w:pStyle w:val="Heading1"/>
        <w:rPr>
          <w:color w:val="000000" w:themeColor="text1"/>
        </w:rPr>
      </w:pPr>
      <w:r w:rsidRPr="00D37F8B">
        <w:rPr>
          <w:color w:val="000000" w:themeColor="text1"/>
        </w:rPr>
        <w:t>PURPOSE OF TESTIMONY</w:t>
      </w:r>
    </w:p>
    <w:p w14:paraId="3135D208" w14:textId="77777777" w:rsidR="00B070F2" w:rsidRPr="00D37F8B" w:rsidRDefault="00B070F2" w:rsidP="00CB3AB6">
      <w:pPr>
        <w:pStyle w:val="BodyText"/>
        <w:rPr>
          <w:color w:val="000000" w:themeColor="text1"/>
        </w:rPr>
      </w:pPr>
      <w:r w:rsidRPr="00D37F8B">
        <w:rPr>
          <w:color w:val="000000" w:themeColor="text1"/>
        </w:rPr>
        <w:t>Q</w:t>
      </w:r>
      <w:r w:rsidR="0005566A" w:rsidRPr="00D37F8B">
        <w:rPr>
          <w:color w:val="000000" w:themeColor="text1"/>
        </w:rPr>
        <w:t>5</w:t>
      </w:r>
      <w:r w:rsidRPr="00D37F8B">
        <w:rPr>
          <w:color w:val="000000" w:themeColor="text1"/>
        </w:rPr>
        <w:t>.</w:t>
      </w:r>
      <w:r w:rsidRPr="00D37F8B">
        <w:rPr>
          <w:color w:val="000000" w:themeColor="text1"/>
        </w:rPr>
        <w:tab/>
        <w:t>What is the purpose of your testimony?</w:t>
      </w:r>
    </w:p>
    <w:p w14:paraId="3E988735" w14:textId="30E5D7CC" w:rsidR="00CC0B43" w:rsidRPr="00D73D04" w:rsidRDefault="00B070F2" w:rsidP="000F388D">
      <w:pPr>
        <w:pStyle w:val="BodyText2"/>
        <w:rPr>
          <w:color w:val="000000" w:themeColor="text1"/>
        </w:rPr>
      </w:pPr>
      <w:r w:rsidRPr="00D37F8B" w:rsidDel="000F388D">
        <w:rPr>
          <w:color w:val="000000" w:themeColor="text1"/>
        </w:rPr>
        <w:t>A</w:t>
      </w:r>
      <w:r w:rsidR="0005566A" w:rsidRPr="00D37F8B" w:rsidDel="000F388D">
        <w:rPr>
          <w:color w:val="000000" w:themeColor="text1"/>
        </w:rPr>
        <w:t>5</w:t>
      </w:r>
      <w:r w:rsidRPr="00D37F8B" w:rsidDel="000F388D">
        <w:rPr>
          <w:color w:val="000000" w:themeColor="text1"/>
        </w:rPr>
        <w:t>.</w:t>
      </w:r>
      <w:r w:rsidRPr="00D37F8B" w:rsidDel="000F388D">
        <w:rPr>
          <w:color w:val="000000" w:themeColor="text1"/>
        </w:rPr>
        <w:tab/>
      </w:r>
      <w:r w:rsidR="00B57877" w:rsidRPr="00D37F8B">
        <w:rPr>
          <w:color w:val="000000" w:themeColor="text1"/>
        </w:rPr>
        <w:t>The purpose of my testimony is to</w:t>
      </w:r>
      <w:r w:rsidR="003A1382">
        <w:rPr>
          <w:color w:val="000000" w:themeColor="text1"/>
        </w:rPr>
        <w:t>: (1)</w:t>
      </w:r>
      <w:r w:rsidR="00B57877" w:rsidRPr="00D37F8B">
        <w:rPr>
          <w:color w:val="000000" w:themeColor="text1"/>
        </w:rPr>
        <w:t xml:space="preserve"> propose changes to SDG&amp;E’s End-Use-Customer rate design used to develop FERC BTRR and RS rates</w:t>
      </w:r>
      <w:r w:rsidR="00165689" w:rsidRPr="00D37F8B">
        <w:rPr>
          <w:color w:val="000000" w:themeColor="text1"/>
        </w:rPr>
        <w:t xml:space="preserve"> </w:t>
      </w:r>
      <w:r w:rsidR="00BC06CA">
        <w:rPr>
          <w:color w:val="000000" w:themeColor="text1"/>
        </w:rPr>
        <w:t>to reflect</w:t>
      </w:r>
      <w:r w:rsidR="00687463">
        <w:rPr>
          <w:color w:val="000000" w:themeColor="text1"/>
        </w:rPr>
        <w:t xml:space="preserve"> </w:t>
      </w:r>
      <w:r w:rsidR="00701201">
        <w:rPr>
          <w:color w:val="000000" w:themeColor="text1"/>
        </w:rPr>
        <w:t>the CPUC</w:t>
      </w:r>
      <w:r w:rsidR="00275D83">
        <w:rPr>
          <w:color w:val="000000" w:themeColor="text1"/>
        </w:rPr>
        <w:t>-approved</w:t>
      </w:r>
      <w:r w:rsidR="00701201">
        <w:rPr>
          <w:color w:val="000000" w:themeColor="text1"/>
        </w:rPr>
        <w:t xml:space="preserve"> Medium Commercial customer class</w:t>
      </w:r>
      <w:r w:rsidR="00114458">
        <w:rPr>
          <w:color w:val="000000" w:themeColor="text1"/>
        </w:rPr>
        <w:t>,</w:t>
      </w:r>
      <w:r w:rsidR="000467A9">
        <w:rPr>
          <w:color w:val="000000" w:themeColor="text1"/>
        </w:rPr>
        <w:t xml:space="preserve"> as approved with CPUC Decision (D.) 25-09-006</w:t>
      </w:r>
      <w:r w:rsidR="00984F7B">
        <w:rPr>
          <w:color w:val="000000" w:themeColor="text1"/>
        </w:rPr>
        <w:t>,</w:t>
      </w:r>
      <w:r w:rsidR="009E1C39" w:rsidDel="00115F71">
        <w:rPr>
          <w:color w:val="000000" w:themeColor="text1"/>
        </w:rPr>
        <w:t xml:space="preserve"> </w:t>
      </w:r>
      <w:r w:rsidR="00115F71">
        <w:rPr>
          <w:color w:val="000000" w:themeColor="text1"/>
        </w:rPr>
        <w:t xml:space="preserve">to </w:t>
      </w:r>
      <w:r w:rsidR="009E1C39">
        <w:rPr>
          <w:color w:val="000000" w:themeColor="text1"/>
        </w:rPr>
        <w:t>maintain consistency in rate design</w:t>
      </w:r>
      <w:r w:rsidR="00F35E1E">
        <w:rPr>
          <w:color w:val="000000" w:themeColor="text1"/>
        </w:rPr>
        <w:t xml:space="preserve"> for customers</w:t>
      </w:r>
      <w:r w:rsidR="003A1382">
        <w:rPr>
          <w:color w:val="000000" w:themeColor="text1"/>
        </w:rPr>
        <w:t xml:space="preserve">; and (2) </w:t>
      </w:r>
      <w:r w:rsidR="003A1382" w:rsidRPr="003A1382">
        <w:rPr>
          <w:color w:val="000000" w:themeColor="text1"/>
        </w:rPr>
        <w:t>revis</w:t>
      </w:r>
      <w:r w:rsidR="00716741">
        <w:rPr>
          <w:color w:val="000000" w:themeColor="text1"/>
        </w:rPr>
        <w:t>e</w:t>
      </w:r>
      <w:r w:rsidR="003A1382" w:rsidRPr="003A1382">
        <w:rPr>
          <w:color w:val="000000" w:themeColor="text1"/>
        </w:rPr>
        <w:t xml:space="preserve"> </w:t>
      </w:r>
      <w:r w:rsidR="0048719C">
        <w:rPr>
          <w:color w:val="000000" w:themeColor="text1"/>
        </w:rPr>
        <w:t>how</w:t>
      </w:r>
      <w:r w:rsidR="003A1382" w:rsidRPr="003A1382">
        <w:rPr>
          <w:color w:val="000000" w:themeColor="text1"/>
        </w:rPr>
        <w:t xml:space="preserve"> BTRR and RS rate inputs </w:t>
      </w:r>
      <w:r w:rsidR="0048719C">
        <w:rPr>
          <w:color w:val="000000" w:themeColor="text1"/>
        </w:rPr>
        <w:t xml:space="preserve">are treated </w:t>
      </w:r>
      <w:r w:rsidR="003A1382" w:rsidRPr="003A1382">
        <w:rPr>
          <w:color w:val="000000" w:themeColor="text1"/>
        </w:rPr>
        <w:t>i</w:t>
      </w:r>
      <w:r w:rsidR="0048719C">
        <w:rPr>
          <w:color w:val="000000" w:themeColor="text1"/>
        </w:rPr>
        <w:t xml:space="preserve">f </w:t>
      </w:r>
      <w:r w:rsidR="003A1382" w:rsidRPr="003A1382">
        <w:rPr>
          <w:color w:val="000000" w:themeColor="text1"/>
        </w:rPr>
        <w:t xml:space="preserve">the historical values become zero </w:t>
      </w:r>
      <w:r w:rsidR="00346A14">
        <w:rPr>
          <w:color w:val="000000" w:themeColor="text1"/>
        </w:rPr>
        <w:t>so that a rate still exists.</w:t>
      </w:r>
    </w:p>
    <w:p w14:paraId="701B83A9" w14:textId="4325EAC5" w:rsidR="00B57877" w:rsidRPr="00B86F3D" w:rsidRDefault="00CC0B43" w:rsidP="23D4C5F0">
      <w:pPr>
        <w:pStyle w:val="BodyText2"/>
        <w:ind w:firstLine="0"/>
        <w:rPr>
          <w:color w:val="auto"/>
        </w:rPr>
      </w:pPr>
      <w:r>
        <w:rPr>
          <w:color w:val="000000" w:themeColor="text1"/>
        </w:rPr>
        <w:lastRenderedPageBreak/>
        <w:tab/>
      </w:r>
      <w:r w:rsidR="00E6275E">
        <w:rPr>
          <w:color w:val="000000" w:themeColor="text1"/>
        </w:rPr>
        <w:tab/>
      </w:r>
      <w:r w:rsidR="006A6F6E" w:rsidRPr="00B608D1">
        <w:rPr>
          <w:color w:val="auto"/>
        </w:rPr>
        <w:t>M</w:t>
      </w:r>
      <w:r w:rsidR="00B57877" w:rsidRPr="00B608D1">
        <w:rPr>
          <w:color w:val="auto"/>
        </w:rPr>
        <w:t>y testimony presents changes to SDG&amp;E FERC Electric Tariff, Volume 11, Appendix</w:t>
      </w:r>
      <w:r w:rsidR="00C05CBE" w:rsidRPr="00B608D1">
        <w:rPr>
          <w:color w:val="auto"/>
        </w:rPr>
        <w:t xml:space="preserve"> </w:t>
      </w:r>
      <w:r w:rsidR="00B57877" w:rsidRPr="00B608D1">
        <w:rPr>
          <w:color w:val="auto"/>
        </w:rPr>
        <w:t>V</w:t>
      </w:r>
      <w:r w:rsidR="00C05CBE" w:rsidRPr="00B608D1">
        <w:rPr>
          <w:color w:val="auto"/>
        </w:rPr>
        <w:t>II</w:t>
      </w:r>
      <w:r w:rsidR="00B57877" w:rsidRPr="00B608D1">
        <w:rPr>
          <w:color w:val="auto"/>
        </w:rPr>
        <w:t xml:space="preserve"> and Appendix IX</w:t>
      </w:r>
      <w:r w:rsidR="006A6F6E" w:rsidRPr="00B608D1">
        <w:rPr>
          <w:color w:val="auto"/>
        </w:rPr>
        <w:t xml:space="preserve"> to implement those changes</w:t>
      </w:r>
      <w:r w:rsidR="00B57877" w:rsidRPr="00B608D1">
        <w:rPr>
          <w:color w:val="auto"/>
        </w:rPr>
        <w:t xml:space="preserve">. Specifically, </w:t>
      </w:r>
      <w:r w:rsidR="00B57877" w:rsidRPr="00B86F3D">
        <w:rPr>
          <w:color w:val="auto"/>
        </w:rPr>
        <w:t>my testimony proposes the following:</w:t>
      </w:r>
    </w:p>
    <w:p w14:paraId="6A96EA4B" w14:textId="09BD2636" w:rsidR="00B57877" w:rsidRDefault="007D4727" w:rsidP="00CB3AB6">
      <w:pPr>
        <w:pStyle w:val="ListParagraph"/>
        <w:numPr>
          <w:ilvl w:val="0"/>
          <w:numId w:val="1"/>
        </w:numPr>
        <w:tabs>
          <w:tab w:val="left" w:pos="720"/>
        </w:tabs>
        <w:autoSpaceDE w:val="0"/>
        <w:autoSpaceDN w:val="0"/>
        <w:adjustRightInd w:val="0"/>
        <w:spacing w:line="480" w:lineRule="auto"/>
        <w:ind w:left="1440" w:hanging="720"/>
        <w:contextualSpacing w:val="0"/>
        <w:rPr>
          <w:rFonts w:cs="Times New Roman"/>
          <w:color w:val="000000" w:themeColor="text1"/>
        </w:rPr>
      </w:pPr>
      <w:r>
        <w:rPr>
          <w:rFonts w:cs="Times New Roman"/>
          <w:color w:val="000000" w:themeColor="text1"/>
        </w:rPr>
        <w:t xml:space="preserve">To add new </w:t>
      </w:r>
      <w:r w:rsidR="00B57877" w:rsidRPr="008E35C5">
        <w:rPr>
          <w:rFonts w:cs="Times New Roman"/>
          <w:color w:val="000000" w:themeColor="text1"/>
        </w:rPr>
        <w:t>BTRR and RS</w:t>
      </w:r>
      <w:r w:rsidR="00B57877" w:rsidRPr="002A7184">
        <w:rPr>
          <w:rFonts w:cs="Times New Roman"/>
          <w:color w:val="000000" w:themeColor="text1"/>
        </w:rPr>
        <w:t xml:space="preserve"> rates </w:t>
      </w:r>
      <w:r w:rsidR="002A7184" w:rsidRPr="002A7184">
        <w:rPr>
          <w:rFonts w:cs="Times New Roman"/>
          <w:color w:val="000000" w:themeColor="text1"/>
        </w:rPr>
        <w:t xml:space="preserve">for Medium Commercial class </w:t>
      </w:r>
      <w:r w:rsidR="00B57877" w:rsidRPr="002A7184">
        <w:rPr>
          <w:rFonts w:cs="Times New Roman"/>
          <w:color w:val="000000" w:themeColor="text1"/>
        </w:rPr>
        <w:t>customers on CPUC Schedule</w:t>
      </w:r>
      <w:r w:rsidR="002A7184" w:rsidRPr="002A7184">
        <w:rPr>
          <w:rFonts w:cs="Times New Roman"/>
          <w:color w:val="000000" w:themeColor="text1"/>
        </w:rPr>
        <w:t xml:space="preserve"> AL-TOU-M, Schedule DG-R-M, Schedule EV-HP, Schedule TOU-M, and Schedule OL-TOU</w:t>
      </w:r>
      <w:r>
        <w:rPr>
          <w:rFonts w:cs="Times New Roman"/>
          <w:color w:val="000000" w:themeColor="text1"/>
        </w:rPr>
        <w:t xml:space="preserve">, which is consistent with </w:t>
      </w:r>
      <w:r w:rsidR="00473691">
        <w:rPr>
          <w:rFonts w:cs="Times New Roman"/>
          <w:color w:val="000000" w:themeColor="text1"/>
        </w:rPr>
        <w:t xml:space="preserve">SDG&amp;E’s </w:t>
      </w:r>
      <w:r>
        <w:rPr>
          <w:rFonts w:cs="Times New Roman"/>
          <w:color w:val="000000" w:themeColor="text1"/>
        </w:rPr>
        <w:t>CPUC</w:t>
      </w:r>
      <w:r w:rsidR="00473691">
        <w:rPr>
          <w:rFonts w:cs="Times New Roman"/>
          <w:color w:val="000000" w:themeColor="text1"/>
        </w:rPr>
        <w:t>-approved</w:t>
      </w:r>
      <w:r>
        <w:rPr>
          <w:rFonts w:cs="Times New Roman"/>
          <w:color w:val="000000" w:themeColor="text1"/>
        </w:rPr>
        <w:t xml:space="preserve"> rate design i</w:t>
      </w:r>
      <w:r w:rsidR="00115F71">
        <w:rPr>
          <w:rFonts w:cs="Times New Roman"/>
          <w:color w:val="000000" w:themeColor="text1"/>
        </w:rPr>
        <w:t>n</w:t>
      </w:r>
      <w:r>
        <w:rPr>
          <w:rFonts w:cs="Times New Roman"/>
          <w:color w:val="000000" w:themeColor="text1"/>
        </w:rPr>
        <w:t xml:space="preserve"> D</w:t>
      </w:r>
      <w:r w:rsidR="001862A2">
        <w:rPr>
          <w:rFonts w:cs="Times New Roman"/>
          <w:color w:val="000000" w:themeColor="text1"/>
        </w:rPr>
        <w:t>.</w:t>
      </w:r>
      <w:r>
        <w:rPr>
          <w:rFonts w:cs="Times New Roman"/>
          <w:color w:val="000000" w:themeColor="text1"/>
        </w:rPr>
        <w:t>25-09-006</w:t>
      </w:r>
      <w:r w:rsidR="00764D2C">
        <w:rPr>
          <w:rFonts w:cs="Times New Roman"/>
          <w:color w:val="000000" w:themeColor="text1"/>
        </w:rPr>
        <w:t>;</w:t>
      </w:r>
    </w:p>
    <w:p w14:paraId="3AA741D9" w14:textId="02804603" w:rsidR="00B57877" w:rsidRDefault="007D4727" w:rsidP="00CB3AB6">
      <w:pPr>
        <w:pStyle w:val="ListParagraph"/>
        <w:numPr>
          <w:ilvl w:val="0"/>
          <w:numId w:val="1"/>
        </w:numPr>
        <w:tabs>
          <w:tab w:val="left" w:pos="720"/>
        </w:tabs>
        <w:autoSpaceDE w:val="0"/>
        <w:autoSpaceDN w:val="0"/>
        <w:adjustRightInd w:val="0"/>
        <w:spacing w:line="480" w:lineRule="auto"/>
        <w:ind w:left="1440" w:hanging="720"/>
        <w:contextualSpacing w:val="0"/>
        <w:rPr>
          <w:rFonts w:cs="Times New Roman"/>
        </w:rPr>
      </w:pPr>
      <w:r w:rsidRPr="007D4727">
        <w:rPr>
          <w:rFonts w:cs="Times New Roman"/>
        </w:rPr>
        <w:t>To present r</w:t>
      </w:r>
      <w:r w:rsidR="002A7184" w:rsidRPr="007D4727">
        <w:rPr>
          <w:rFonts w:cs="Times New Roman"/>
        </w:rPr>
        <w:t>evis</w:t>
      </w:r>
      <w:r w:rsidRPr="007D4727">
        <w:rPr>
          <w:rFonts w:cs="Times New Roman"/>
        </w:rPr>
        <w:t xml:space="preserve">ions to </w:t>
      </w:r>
      <w:r w:rsidR="002A7184" w:rsidRPr="007D4727">
        <w:rPr>
          <w:rFonts w:cs="Times New Roman"/>
        </w:rPr>
        <w:t xml:space="preserve">the treatment </w:t>
      </w:r>
      <w:r w:rsidR="00B57877" w:rsidRPr="007D4727">
        <w:rPr>
          <w:rFonts w:cs="Times New Roman"/>
        </w:rPr>
        <w:t xml:space="preserve">of BTRR </w:t>
      </w:r>
      <w:r w:rsidR="00B57877" w:rsidRPr="008E35C5">
        <w:rPr>
          <w:rFonts w:cs="Times New Roman"/>
        </w:rPr>
        <w:t>and RS rate</w:t>
      </w:r>
      <w:r w:rsidR="002A7184" w:rsidRPr="008E35C5">
        <w:rPr>
          <w:rFonts w:cs="Times New Roman"/>
        </w:rPr>
        <w:t xml:space="preserve"> inputs</w:t>
      </w:r>
      <w:r w:rsidR="002A7184" w:rsidRPr="007D4727">
        <w:rPr>
          <w:rFonts w:cs="Times New Roman"/>
        </w:rPr>
        <w:t xml:space="preserve"> in the event that </w:t>
      </w:r>
      <w:r w:rsidR="002A7184" w:rsidRPr="00DB42A7">
        <w:rPr>
          <w:rFonts w:cs="Times New Roman"/>
        </w:rPr>
        <w:t>the historical</w:t>
      </w:r>
      <w:r w:rsidR="00E04926" w:rsidRPr="00DB42A7">
        <w:rPr>
          <w:rFonts w:cs="Times New Roman"/>
        </w:rPr>
        <w:t xml:space="preserve"> values </w:t>
      </w:r>
      <w:r w:rsidR="002A7184" w:rsidRPr="00DB42A7">
        <w:rPr>
          <w:rFonts w:cs="Times New Roman"/>
        </w:rPr>
        <w:t>become zero</w:t>
      </w:r>
      <w:r w:rsidR="00E04926" w:rsidRPr="00DB42A7">
        <w:rPr>
          <w:rFonts w:cs="Times New Roman"/>
        </w:rPr>
        <w:t xml:space="preserve"> causing the forecasted values to be zero</w:t>
      </w:r>
      <w:r w:rsidR="002A7184" w:rsidRPr="00DB42A7">
        <w:rPr>
          <w:rFonts w:cs="Times New Roman"/>
        </w:rPr>
        <w:t xml:space="preserve">, which would </w:t>
      </w:r>
      <w:r w:rsidR="00E04926" w:rsidRPr="00DB42A7">
        <w:rPr>
          <w:rFonts w:cs="Times New Roman"/>
        </w:rPr>
        <w:t xml:space="preserve">ultimately </w:t>
      </w:r>
      <w:r w:rsidR="002A7184" w:rsidRPr="00DB42A7">
        <w:rPr>
          <w:rFonts w:cs="Times New Roman"/>
        </w:rPr>
        <w:t>cause the rate to zero out</w:t>
      </w:r>
      <w:r w:rsidR="00764D2C" w:rsidRPr="00DB42A7">
        <w:rPr>
          <w:rFonts w:cs="Times New Roman"/>
        </w:rPr>
        <w:t>;</w:t>
      </w:r>
    </w:p>
    <w:p w14:paraId="4F55203A" w14:textId="003E91E2" w:rsidR="0085089D" w:rsidRPr="00CB3AB6" w:rsidRDefault="007D4727" w:rsidP="00CB3AB6">
      <w:pPr>
        <w:pStyle w:val="ListParagraph"/>
        <w:numPr>
          <w:ilvl w:val="0"/>
          <w:numId w:val="1"/>
        </w:numPr>
        <w:tabs>
          <w:tab w:val="left" w:pos="720"/>
        </w:tabs>
        <w:autoSpaceDE w:val="0"/>
        <w:autoSpaceDN w:val="0"/>
        <w:adjustRightInd w:val="0"/>
        <w:spacing w:line="480" w:lineRule="auto"/>
        <w:ind w:left="1440" w:hanging="720"/>
        <w:contextualSpacing w:val="0"/>
        <w:rPr>
          <w:rFonts w:cs="Times New Roman"/>
        </w:rPr>
      </w:pPr>
      <w:r w:rsidRPr="00CB3AB6">
        <w:rPr>
          <w:rFonts w:cs="Times New Roman"/>
        </w:rPr>
        <w:t>To present</w:t>
      </w:r>
      <w:r w:rsidR="006A6F6E" w:rsidRPr="00CB3AB6">
        <w:rPr>
          <w:rFonts w:cs="Times New Roman"/>
        </w:rPr>
        <w:t xml:space="preserve"> r</w:t>
      </w:r>
      <w:r w:rsidR="00B57877" w:rsidRPr="00CB3AB6">
        <w:rPr>
          <w:rFonts w:cs="Times New Roman"/>
        </w:rPr>
        <w:t>evisions to Statements BL</w:t>
      </w:r>
      <w:r w:rsidR="007C0A49" w:rsidRPr="00CB3AB6">
        <w:rPr>
          <w:rFonts w:cs="Times New Roman"/>
        </w:rPr>
        <w:t>, BG</w:t>
      </w:r>
      <w:r w:rsidR="00894AC2" w:rsidRPr="00CB3AB6">
        <w:rPr>
          <w:rFonts w:cs="Times New Roman"/>
        </w:rPr>
        <w:t>,</w:t>
      </w:r>
      <w:r w:rsidR="007C0A49" w:rsidRPr="00CB3AB6">
        <w:rPr>
          <w:rFonts w:cs="Times New Roman"/>
        </w:rPr>
        <w:t xml:space="preserve"> and BH</w:t>
      </w:r>
      <w:r w:rsidR="00B57877" w:rsidRPr="00CB3AB6">
        <w:rPr>
          <w:rFonts w:cs="Times New Roman"/>
        </w:rPr>
        <w:t xml:space="preserve"> fi</w:t>
      </w:r>
      <w:r w:rsidR="00B57877" w:rsidRPr="00CB3AB6">
        <w:rPr>
          <w:rFonts w:cs="Times New Roman"/>
          <w:bCs/>
        </w:rPr>
        <w:t>led to implement SDG&amp;E’s</w:t>
      </w:r>
      <w:r w:rsidR="00AC5799">
        <w:rPr>
          <w:rFonts w:cs="Times New Roman"/>
          <w:bCs/>
        </w:rPr>
        <w:t>:</w:t>
      </w:r>
      <w:r w:rsidR="0006707F" w:rsidRPr="00DB42A7">
        <w:rPr>
          <w:rStyle w:val="FootnoteReference"/>
          <w:rFonts w:cs="Times New Roman"/>
          <w:bCs/>
        </w:rPr>
        <w:footnoteReference w:id="1"/>
      </w:r>
      <w:r w:rsidR="00B57877" w:rsidRPr="00CB3AB6">
        <w:rPr>
          <w:rFonts w:cs="Times New Roman"/>
          <w:bCs/>
        </w:rPr>
        <w:t xml:space="preserve"> (a) 202</w:t>
      </w:r>
      <w:r w:rsidR="002A7184" w:rsidRPr="00CB3AB6">
        <w:rPr>
          <w:rFonts w:cs="Times New Roman"/>
          <w:bCs/>
        </w:rPr>
        <w:t>7</w:t>
      </w:r>
      <w:r w:rsidR="00B57877" w:rsidRPr="00CB3AB6">
        <w:rPr>
          <w:rFonts w:cs="Times New Roman"/>
          <w:bCs/>
        </w:rPr>
        <w:t xml:space="preserve"> BTRR rates </w:t>
      </w:r>
      <w:r w:rsidR="0063487B" w:rsidRPr="00CB3AB6">
        <w:rPr>
          <w:rFonts w:cs="Times New Roman"/>
          <w:bCs/>
        </w:rPr>
        <w:t xml:space="preserve">submitted </w:t>
      </w:r>
      <w:r w:rsidR="00B57877" w:rsidRPr="00CB3AB6">
        <w:rPr>
          <w:rFonts w:cs="Times New Roman"/>
          <w:bCs/>
        </w:rPr>
        <w:t>in</w:t>
      </w:r>
      <w:r w:rsidR="00B57877" w:rsidRPr="00CB3AB6">
        <w:rPr>
          <w:rFonts w:cs="Times New Roman"/>
        </w:rPr>
        <w:t xml:space="preserve"> Docket No. ER2</w:t>
      </w:r>
      <w:r w:rsidR="0063487B" w:rsidRPr="00CB3AB6">
        <w:rPr>
          <w:rFonts w:cs="Times New Roman"/>
        </w:rPr>
        <w:t>7</w:t>
      </w:r>
      <w:r w:rsidR="00B57877" w:rsidRPr="00CB3AB6">
        <w:rPr>
          <w:rFonts w:cs="Times New Roman"/>
        </w:rPr>
        <w:noBreakHyphen/>
      </w:r>
      <w:r w:rsidR="00D94365" w:rsidRPr="00CB3AB6">
        <w:rPr>
          <w:rFonts w:cs="Times New Roman"/>
        </w:rPr>
        <w:t>xxx</w:t>
      </w:r>
      <w:r w:rsidR="00B57877" w:rsidRPr="00CB3AB6">
        <w:rPr>
          <w:rFonts w:cs="Times New Roman"/>
        </w:rPr>
        <w:noBreakHyphen/>
        <w:t xml:space="preserve">000, SDG&amp;E’s Transmission Owner Tariff </w:t>
      </w:r>
      <w:r w:rsidRPr="00CB3AB6">
        <w:rPr>
          <w:rFonts w:cs="Times New Roman"/>
        </w:rPr>
        <w:t>Sixth</w:t>
      </w:r>
      <w:r w:rsidR="00B57877" w:rsidRPr="00CB3AB6">
        <w:rPr>
          <w:rFonts w:cs="Times New Roman"/>
        </w:rPr>
        <w:t xml:space="preserve"> (TO</w:t>
      </w:r>
      <w:r w:rsidRPr="00CB3AB6">
        <w:rPr>
          <w:rFonts w:cs="Times New Roman"/>
        </w:rPr>
        <w:t>6</w:t>
      </w:r>
      <w:r w:rsidR="00B57877" w:rsidRPr="00CB3AB6">
        <w:rPr>
          <w:rFonts w:cs="Times New Roman"/>
        </w:rPr>
        <w:t xml:space="preserve">) Cycle 3; and (b) </w:t>
      </w:r>
      <w:r w:rsidR="0063487B" w:rsidRPr="00CB3AB6">
        <w:rPr>
          <w:rFonts w:cs="Times New Roman"/>
        </w:rPr>
        <w:t xml:space="preserve">illustrative </w:t>
      </w:r>
      <w:r w:rsidR="00B57877" w:rsidRPr="00CB3AB6">
        <w:rPr>
          <w:rFonts w:cs="Times New Roman"/>
        </w:rPr>
        <w:t>202</w:t>
      </w:r>
      <w:r w:rsidR="0063487B" w:rsidRPr="00CB3AB6">
        <w:rPr>
          <w:rFonts w:cs="Times New Roman"/>
        </w:rPr>
        <w:t>7</w:t>
      </w:r>
      <w:r w:rsidR="00B57877" w:rsidRPr="00CB3AB6">
        <w:rPr>
          <w:rFonts w:cs="Times New Roman"/>
        </w:rPr>
        <w:t xml:space="preserve"> RS rates </w:t>
      </w:r>
      <w:r w:rsidR="0063487B" w:rsidRPr="00CB3AB6">
        <w:rPr>
          <w:rFonts w:cs="Times New Roman"/>
        </w:rPr>
        <w:t xml:space="preserve">to be submitted </w:t>
      </w:r>
      <w:r w:rsidR="00C05CBE" w:rsidRPr="00CB3AB6">
        <w:rPr>
          <w:rFonts w:cs="Times New Roman"/>
        </w:rPr>
        <w:t xml:space="preserve">in </w:t>
      </w:r>
      <w:r w:rsidR="00B57877" w:rsidRPr="00CB3AB6">
        <w:rPr>
          <w:rFonts w:cs="Times New Roman"/>
        </w:rPr>
        <w:t>Docket No. ER2</w:t>
      </w:r>
      <w:r w:rsidR="0063487B" w:rsidRPr="00CB3AB6">
        <w:rPr>
          <w:rFonts w:cs="Times New Roman"/>
        </w:rPr>
        <w:t>7</w:t>
      </w:r>
      <w:r w:rsidR="00B57877" w:rsidRPr="00CB3AB6">
        <w:rPr>
          <w:rFonts w:cs="Times New Roman"/>
        </w:rPr>
        <w:noBreakHyphen/>
      </w:r>
      <w:r w:rsidR="00D94365" w:rsidRPr="00CB3AB6">
        <w:rPr>
          <w:rFonts w:cs="Times New Roman"/>
        </w:rPr>
        <w:t>xxx</w:t>
      </w:r>
      <w:r w:rsidR="00B57877" w:rsidRPr="00CB3AB6">
        <w:rPr>
          <w:rFonts w:cs="Times New Roman"/>
        </w:rPr>
        <w:noBreakHyphen/>
        <w:t>000. The Statements have been modified to</w:t>
      </w:r>
      <w:r w:rsidR="00A57BFD" w:rsidRPr="00CB3AB6">
        <w:rPr>
          <w:rFonts w:cs="Times New Roman"/>
        </w:rPr>
        <w:t>: (a)</w:t>
      </w:r>
      <w:r w:rsidR="00B57877" w:rsidRPr="00CB3AB6">
        <w:rPr>
          <w:rFonts w:cs="Times New Roman"/>
        </w:rPr>
        <w:t xml:space="preserve"> </w:t>
      </w:r>
      <w:r w:rsidR="001C59E7" w:rsidRPr="00CB3AB6">
        <w:rPr>
          <w:rFonts w:cs="Times New Roman"/>
        </w:rPr>
        <w:t>breakout the Medium Commercial class from the previously combined Medium</w:t>
      </w:r>
      <w:r w:rsidR="00516B27">
        <w:rPr>
          <w:rFonts w:cs="Times New Roman"/>
        </w:rPr>
        <w:t xml:space="preserve"> &amp; </w:t>
      </w:r>
      <w:r w:rsidR="001C59E7" w:rsidRPr="00CB3AB6">
        <w:rPr>
          <w:rFonts w:cs="Times New Roman"/>
        </w:rPr>
        <w:t>Large Commercial</w:t>
      </w:r>
      <w:r w:rsidR="00516B27">
        <w:rPr>
          <w:rFonts w:cs="Times New Roman"/>
        </w:rPr>
        <w:t>/</w:t>
      </w:r>
      <w:r w:rsidR="001C59E7" w:rsidRPr="00CB3AB6">
        <w:rPr>
          <w:rFonts w:cs="Times New Roman"/>
        </w:rPr>
        <w:t>Industrial class</w:t>
      </w:r>
      <w:r w:rsidR="00A57BFD" w:rsidRPr="00CB3AB6">
        <w:rPr>
          <w:rFonts w:cs="Times New Roman"/>
        </w:rPr>
        <w:t xml:space="preserve">; </w:t>
      </w:r>
      <w:r w:rsidR="00365DC4" w:rsidRPr="00CB3AB6">
        <w:rPr>
          <w:rFonts w:cs="Times New Roman"/>
        </w:rPr>
        <w:t xml:space="preserve">and </w:t>
      </w:r>
      <w:r w:rsidR="00A57BFD" w:rsidRPr="00CB3AB6">
        <w:rPr>
          <w:rFonts w:cs="Times New Roman"/>
        </w:rPr>
        <w:t>(b)</w:t>
      </w:r>
      <w:r w:rsidR="00B57877" w:rsidRPr="00CB3AB6">
        <w:rPr>
          <w:rFonts w:cs="Times New Roman"/>
        </w:rPr>
        <w:t xml:space="preserve"> </w:t>
      </w:r>
      <w:r w:rsidR="005D6B93" w:rsidRPr="00CB3AB6">
        <w:rPr>
          <w:rFonts w:cs="Times New Roman"/>
        </w:rPr>
        <w:t>update</w:t>
      </w:r>
      <w:r w:rsidR="00896FF0" w:rsidRPr="00CB3AB6">
        <w:rPr>
          <w:rFonts w:cs="Times New Roman"/>
        </w:rPr>
        <w:t xml:space="preserve"> the treatment of historical sales and demand factors</w:t>
      </w:r>
      <w:r w:rsidR="00BC63A3">
        <w:rPr>
          <w:rFonts w:cs="Times New Roman"/>
        </w:rPr>
        <w:t xml:space="preserve"> as described above</w:t>
      </w:r>
      <w:r w:rsidR="00B57877" w:rsidRPr="00CB3AB6">
        <w:rPr>
          <w:rFonts w:cs="Times New Roman"/>
        </w:rPr>
        <w:t>.</w:t>
      </w:r>
      <w:r w:rsidR="006A6F6E" w:rsidRPr="00CB3AB6">
        <w:rPr>
          <w:rFonts w:cs="Times New Roman"/>
        </w:rPr>
        <w:t xml:space="preserve"> If the proposed changes to </w:t>
      </w:r>
      <w:r w:rsidR="00BA485F">
        <w:rPr>
          <w:rFonts w:cs="Times New Roman"/>
        </w:rPr>
        <w:t xml:space="preserve">SDG&amp;E Transmission Owner Tariff </w:t>
      </w:r>
      <w:r w:rsidR="006A6F6E" w:rsidRPr="00CB3AB6">
        <w:rPr>
          <w:rFonts w:cs="Times New Roman"/>
        </w:rPr>
        <w:t>Appendix VII and Appendix IX are approved in this filing, SDG&amp;E will apply the revisions to the 202</w:t>
      </w:r>
      <w:r w:rsidRPr="00CB3AB6">
        <w:rPr>
          <w:rFonts w:cs="Times New Roman"/>
        </w:rPr>
        <w:t>7</w:t>
      </w:r>
      <w:r w:rsidR="006A6F6E" w:rsidRPr="00CB3AB6">
        <w:rPr>
          <w:rFonts w:cs="Times New Roman"/>
        </w:rPr>
        <w:t xml:space="preserve"> Statements BL, BG, and BH to be filed in SDG&amp;E’s TO</w:t>
      </w:r>
      <w:r w:rsidR="00D94365" w:rsidRPr="00CB3AB6">
        <w:rPr>
          <w:rFonts w:cs="Times New Roman"/>
        </w:rPr>
        <w:t>6</w:t>
      </w:r>
      <w:r w:rsidR="006A6F6E" w:rsidRPr="00CB3AB6">
        <w:rPr>
          <w:rFonts w:cs="Times New Roman"/>
        </w:rPr>
        <w:t xml:space="preserve"> Cycle </w:t>
      </w:r>
      <w:r w:rsidR="00D94365" w:rsidRPr="00CB3AB6">
        <w:rPr>
          <w:rFonts w:cs="Times New Roman"/>
        </w:rPr>
        <w:t>3</w:t>
      </w:r>
      <w:r w:rsidR="006A6F6E" w:rsidRPr="00CB3AB6">
        <w:rPr>
          <w:rFonts w:cs="Times New Roman"/>
        </w:rPr>
        <w:t xml:space="preserve"> and 202</w:t>
      </w:r>
      <w:r w:rsidR="00896FF0" w:rsidRPr="00CB3AB6">
        <w:rPr>
          <w:rFonts w:cs="Times New Roman"/>
        </w:rPr>
        <w:t>7</w:t>
      </w:r>
      <w:r w:rsidR="006A6F6E" w:rsidRPr="00CB3AB6">
        <w:rPr>
          <w:rFonts w:cs="Times New Roman"/>
        </w:rPr>
        <w:t xml:space="preserve"> RS filing</w:t>
      </w:r>
      <w:r w:rsidR="00764D2C" w:rsidRPr="00CB3AB6">
        <w:rPr>
          <w:rFonts w:cs="Times New Roman"/>
        </w:rPr>
        <w:t>; and</w:t>
      </w:r>
      <w:r w:rsidR="006A6F6E" w:rsidRPr="00CB3AB6">
        <w:rPr>
          <w:rFonts w:cs="Times New Roman"/>
        </w:rPr>
        <w:t xml:space="preserve"> </w:t>
      </w:r>
    </w:p>
    <w:p w14:paraId="26324424" w14:textId="20553397" w:rsidR="00FE076C" w:rsidRPr="00D94365" w:rsidRDefault="009D1A59" w:rsidP="00CB3AB6">
      <w:pPr>
        <w:pStyle w:val="ListParagraph"/>
        <w:numPr>
          <w:ilvl w:val="0"/>
          <w:numId w:val="1"/>
        </w:numPr>
        <w:tabs>
          <w:tab w:val="left" w:pos="720"/>
        </w:tabs>
        <w:autoSpaceDE w:val="0"/>
        <w:autoSpaceDN w:val="0"/>
        <w:adjustRightInd w:val="0"/>
        <w:spacing w:after="240" w:line="480" w:lineRule="auto"/>
        <w:ind w:left="1440" w:hanging="720"/>
        <w:contextualSpacing w:val="0"/>
        <w:rPr>
          <w:rFonts w:cs="Times New Roman"/>
        </w:rPr>
      </w:pPr>
      <w:r>
        <w:lastRenderedPageBreak/>
        <w:t>To r</w:t>
      </w:r>
      <w:r w:rsidR="00C05CBE" w:rsidRPr="00D94365">
        <w:t>evis</w:t>
      </w:r>
      <w:r>
        <w:t>e</w:t>
      </w:r>
      <w:r w:rsidR="00C05CBE" w:rsidRPr="00D94365">
        <w:t xml:space="preserve"> </w:t>
      </w:r>
      <w:r w:rsidR="00B57877" w:rsidRPr="00605F23">
        <w:t>Appendix V</w:t>
      </w:r>
      <w:r w:rsidR="00C05CBE" w:rsidRPr="00605F23">
        <w:t>II</w:t>
      </w:r>
      <w:r w:rsidR="00B57877" w:rsidRPr="00605F23">
        <w:t xml:space="preserve"> and </w:t>
      </w:r>
      <w:r w:rsidR="00B57877" w:rsidRPr="00D94365">
        <w:t>Appendix IX</w:t>
      </w:r>
      <w:r w:rsidR="00FE076C" w:rsidRPr="00D94365">
        <w:t xml:space="preserve"> to</w:t>
      </w:r>
      <w:r w:rsidR="0085089D" w:rsidRPr="00D94365">
        <w:t>:</w:t>
      </w:r>
      <w:r w:rsidR="0085089D" w:rsidRPr="00D94365">
        <w:rPr>
          <w:rFonts w:cs="Times New Roman"/>
        </w:rPr>
        <w:t xml:space="preserve"> (a) indicate that </w:t>
      </w:r>
      <w:r w:rsidR="001F5E7F">
        <w:rPr>
          <w:rFonts w:cs="Times New Roman"/>
        </w:rPr>
        <w:t>M</w:t>
      </w:r>
      <w:r w:rsidR="00D94365" w:rsidRPr="00D94365">
        <w:rPr>
          <w:rFonts w:cs="Times New Roman"/>
        </w:rPr>
        <w:t xml:space="preserve">edium </w:t>
      </w:r>
      <w:r w:rsidR="001F5E7F">
        <w:rPr>
          <w:rFonts w:cs="Times New Roman"/>
        </w:rPr>
        <w:t>C</w:t>
      </w:r>
      <w:r w:rsidR="0085089D" w:rsidRPr="00D94365">
        <w:rPr>
          <w:rFonts w:cs="Times New Roman"/>
        </w:rPr>
        <w:t>ommercial customers on CPUC Schedule</w:t>
      </w:r>
      <w:r w:rsidR="00D94365" w:rsidRPr="00D94365">
        <w:rPr>
          <w:rFonts w:cs="Times New Roman"/>
        </w:rPr>
        <w:t>s</w:t>
      </w:r>
      <w:r w:rsidR="0085089D" w:rsidRPr="00D94365">
        <w:rPr>
          <w:rFonts w:cs="Times New Roman"/>
        </w:rPr>
        <w:t xml:space="preserve"> </w:t>
      </w:r>
      <w:r w:rsidR="00D94365" w:rsidRPr="00D94365">
        <w:rPr>
          <w:rFonts w:cs="Times New Roman"/>
        </w:rPr>
        <w:t>AL-TOU-M, DG-R-M, EV-HP,</w:t>
      </w:r>
      <w:r w:rsidR="00D94365">
        <w:rPr>
          <w:rFonts w:cs="Times New Roman"/>
        </w:rPr>
        <w:t xml:space="preserve"> OL-TOU,</w:t>
      </w:r>
      <w:r w:rsidR="00D94365" w:rsidRPr="00D94365">
        <w:rPr>
          <w:rFonts w:cs="Times New Roman"/>
        </w:rPr>
        <w:t xml:space="preserve"> and TOU-M a</w:t>
      </w:r>
      <w:r w:rsidR="0085089D" w:rsidRPr="00D94365">
        <w:rPr>
          <w:rFonts w:cs="Times New Roman"/>
        </w:rPr>
        <w:t xml:space="preserve">re eligible </w:t>
      </w:r>
      <w:r w:rsidR="00C05CBE" w:rsidRPr="00D94365">
        <w:rPr>
          <w:rFonts w:cs="Times New Roman"/>
        </w:rPr>
        <w:t>for</w:t>
      </w:r>
      <w:r w:rsidR="0085089D" w:rsidRPr="00D94365">
        <w:rPr>
          <w:rFonts w:cs="Times New Roman"/>
        </w:rPr>
        <w:t xml:space="preserve"> </w:t>
      </w:r>
      <w:r w:rsidR="00D94365" w:rsidRPr="00D94365">
        <w:rPr>
          <w:rFonts w:cs="Times New Roman"/>
        </w:rPr>
        <w:t xml:space="preserve">Medium Commercial </w:t>
      </w:r>
      <w:r w:rsidR="0085089D" w:rsidRPr="00D94365">
        <w:rPr>
          <w:rFonts w:cs="Times New Roman"/>
        </w:rPr>
        <w:t xml:space="preserve">BTRR </w:t>
      </w:r>
      <w:r w:rsidR="0085089D" w:rsidRPr="00605F23">
        <w:rPr>
          <w:rFonts w:cs="Times New Roman"/>
        </w:rPr>
        <w:t>and RS rates</w:t>
      </w:r>
      <w:r w:rsidR="0085089D" w:rsidRPr="00D94365">
        <w:rPr>
          <w:rFonts w:cs="Times New Roman"/>
        </w:rPr>
        <w:t xml:space="preserve">; (b) </w:t>
      </w:r>
      <w:r w:rsidR="00D94365" w:rsidRPr="00D94365">
        <w:rPr>
          <w:rFonts w:cs="Times New Roman"/>
        </w:rPr>
        <w:t>update SDG&amp;E rate setting procedures when no forecasted sales are available</w:t>
      </w:r>
      <w:r w:rsidR="0085089D" w:rsidRPr="00D94365">
        <w:rPr>
          <w:rFonts w:cs="Times New Roman"/>
        </w:rPr>
        <w:t xml:space="preserve">; and (c) make various housekeeping changes. </w:t>
      </w:r>
    </w:p>
    <w:p w14:paraId="716CE102" w14:textId="722308F4" w:rsidR="00FE076C" w:rsidRPr="00981FB8" w:rsidRDefault="00FE076C" w:rsidP="00CB3AB6">
      <w:pPr>
        <w:pStyle w:val="Heading1"/>
      </w:pPr>
      <w:r w:rsidRPr="00981FB8">
        <w:t>PROPOSED END-USE-CUSTOMER RATE DESIGN CHANGES</w:t>
      </w:r>
    </w:p>
    <w:p w14:paraId="718D3213" w14:textId="168CF758" w:rsidR="00E15F04" w:rsidRPr="00981FB8" w:rsidRDefault="008F6D42" w:rsidP="00CB3AB6">
      <w:pPr>
        <w:pStyle w:val="Heading2"/>
      </w:pPr>
      <w:r w:rsidRPr="00981FB8">
        <w:t xml:space="preserve">Create </w:t>
      </w:r>
      <w:r w:rsidR="00E04C5B">
        <w:t xml:space="preserve">a new </w:t>
      </w:r>
      <w:r w:rsidRPr="00981FB8">
        <w:t xml:space="preserve">Medium Commercial Class consisting of Schedules </w:t>
      </w:r>
      <w:r w:rsidR="00981FB8" w:rsidRPr="00981FB8">
        <w:t>AL-TOU-M, DG-R-M, EV-HP, OL-TOU, and TOU-M</w:t>
      </w:r>
      <w:r w:rsidR="00E04C5B">
        <w:t xml:space="preserve"> to be </w:t>
      </w:r>
      <w:r w:rsidR="003300D7">
        <w:t>c</w:t>
      </w:r>
      <w:r w:rsidR="00E04C5B">
        <w:t>onsistent with SDG&amp;E’s CPUC Rate Design</w:t>
      </w:r>
    </w:p>
    <w:p w14:paraId="2ED02CF2" w14:textId="31D05260" w:rsidR="00096C1A" w:rsidRPr="00065C0B" w:rsidRDefault="00096C1A" w:rsidP="00CB3AB6">
      <w:pPr>
        <w:pStyle w:val="BodyText"/>
        <w:rPr>
          <w:color w:val="EE0000"/>
        </w:rPr>
      </w:pPr>
      <w:r w:rsidRPr="00E04926">
        <w:t>Q6.</w:t>
      </w:r>
      <w:r w:rsidRPr="00E04926">
        <w:tab/>
        <w:t xml:space="preserve">Please explain </w:t>
      </w:r>
      <w:r w:rsidR="00981FB8" w:rsidRPr="00E04926">
        <w:t xml:space="preserve">the background and reason for SDG&amp;E’s proposal to create a new Medium Commercial </w:t>
      </w:r>
      <w:r w:rsidR="003300D7">
        <w:t>C</w:t>
      </w:r>
      <w:r w:rsidR="00981FB8" w:rsidRPr="00E04926">
        <w:t xml:space="preserve">lass </w:t>
      </w:r>
    </w:p>
    <w:p w14:paraId="3DA66479" w14:textId="2276654A" w:rsidR="00696F44" w:rsidRDefault="00096C1A" w:rsidP="00CB3AB6">
      <w:pPr>
        <w:pStyle w:val="BodyText2"/>
        <w:rPr>
          <w:color w:val="auto"/>
        </w:rPr>
      </w:pPr>
      <w:r w:rsidRPr="00E04926">
        <w:rPr>
          <w:color w:val="auto"/>
        </w:rPr>
        <w:t>A6.</w:t>
      </w:r>
      <w:r w:rsidRPr="00E04926">
        <w:rPr>
          <w:color w:val="auto"/>
        </w:rPr>
        <w:tab/>
      </w:r>
      <w:r w:rsidR="004E4404">
        <w:rPr>
          <w:color w:val="000000" w:themeColor="text1"/>
        </w:rPr>
        <w:t xml:space="preserve">As part of </w:t>
      </w:r>
      <w:r w:rsidR="00BC63A3">
        <w:rPr>
          <w:color w:val="000000" w:themeColor="text1"/>
        </w:rPr>
        <w:t>SDG&amp;E’s CPUC-jurisdictional</w:t>
      </w:r>
      <w:r w:rsidR="004E4404">
        <w:rPr>
          <w:color w:val="000000" w:themeColor="text1"/>
        </w:rPr>
        <w:t xml:space="preserve"> </w:t>
      </w:r>
      <w:r w:rsidR="0002695D">
        <w:rPr>
          <w:color w:val="000000" w:themeColor="text1"/>
        </w:rPr>
        <w:t xml:space="preserve">approved </w:t>
      </w:r>
      <w:r w:rsidR="004E4404">
        <w:rPr>
          <w:color w:val="000000" w:themeColor="text1"/>
        </w:rPr>
        <w:t xml:space="preserve">2019 General Rate Case (GRC) Phase 2 </w:t>
      </w:r>
      <w:r w:rsidR="0002695D">
        <w:rPr>
          <w:color w:val="000000" w:themeColor="text1"/>
        </w:rPr>
        <w:t>(</w:t>
      </w:r>
      <w:r w:rsidR="004E4404">
        <w:rPr>
          <w:color w:val="000000" w:themeColor="text1"/>
        </w:rPr>
        <w:t>D.21-07-010</w:t>
      </w:r>
      <w:r w:rsidR="0002695D">
        <w:rPr>
          <w:color w:val="000000" w:themeColor="text1"/>
        </w:rPr>
        <w:t>)</w:t>
      </w:r>
      <w:r w:rsidR="004E4404">
        <w:rPr>
          <w:color w:val="000000" w:themeColor="text1"/>
        </w:rPr>
        <w:t xml:space="preserve">, SDG&amp;E agreed to analyze the proposed subdivision of its combined Medium/Large Commercial and Industrial (M/L C&amp;I) customer class. Through SDG&amp;E’s </w:t>
      </w:r>
      <w:r w:rsidR="0002695D">
        <w:rPr>
          <w:color w:val="000000" w:themeColor="text1"/>
        </w:rPr>
        <w:t xml:space="preserve">approved </w:t>
      </w:r>
      <w:r w:rsidR="004E4404">
        <w:rPr>
          <w:color w:val="000000" w:themeColor="text1"/>
        </w:rPr>
        <w:t xml:space="preserve">2024 GRC Phase 2 </w:t>
      </w:r>
      <w:r w:rsidR="0002695D">
        <w:rPr>
          <w:color w:val="000000" w:themeColor="text1"/>
        </w:rPr>
        <w:t>(</w:t>
      </w:r>
      <w:r w:rsidR="004E4404">
        <w:rPr>
          <w:color w:val="000000" w:themeColor="text1"/>
        </w:rPr>
        <w:t>D.25-09-006</w:t>
      </w:r>
      <w:r w:rsidR="0002695D">
        <w:rPr>
          <w:color w:val="000000" w:themeColor="text1"/>
        </w:rPr>
        <w:t>)</w:t>
      </w:r>
      <w:r w:rsidR="004E4404">
        <w:rPr>
          <w:color w:val="000000" w:themeColor="text1"/>
        </w:rPr>
        <w:t xml:space="preserve">, parties </w:t>
      </w:r>
      <w:r w:rsidR="000E2154">
        <w:rPr>
          <w:color w:val="000000" w:themeColor="text1"/>
        </w:rPr>
        <w:t>agreed that</w:t>
      </w:r>
      <w:r w:rsidR="004E4404">
        <w:rPr>
          <w:color w:val="000000" w:themeColor="text1"/>
        </w:rPr>
        <w:t xml:space="preserve"> the new Medium Commercial customer class would</w:t>
      </w:r>
      <w:r w:rsidR="00C2315C">
        <w:rPr>
          <w:color w:val="000000" w:themeColor="text1"/>
        </w:rPr>
        <w:t xml:space="preserve"> generally</w:t>
      </w:r>
      <w:r w:rsidR="004E4404">
        <w:rPr>
          <w:color w:val="000000" w:themeColor="text1"/>
        </w:rPr>
        <w:t xml:space="preserve"> be available </w:t>
      </w:r>
      <w:r w:rsidR="004E4404" w:rsidRPr="00D37F8B">
        <w:rPr>
          <w:color w:val="000000" w:themeColor="text1"/>
        </w:rPr>
        <w:t>for commercial customers with a Maximum Monthly Demand equaling or exceeding 20 kilowatts (kW) and below 200 kW</w:t>
      </w:r>
      <w:r w:rsidR="00C2315C">
        <w:rPr>
          <w:color w:val="000000" w:themeColor="text1"/>
        </w:rPr>
        <w:t xml:space="preserve"> who are not on substation or transmission </w:t>
      </w:r>
      <w:r w:rsidR="00B138CB">
        <w:rPr>
          <w:color w:val="000000" w:themeColor="text1"/>
        </w:rPr>
        <w:t>level services</w:t>
      </w:r>
      <w:r w:rsidR="00971658">
        <w:rPr>
          <w:color w:val="000000" w:themeColor="text1"/>
        </w:rPr>
        <w:t>.</w:t>
      </w:r>
      <w:r w:rsidR="00FF63C5">
        <w:rPr>
          <w:color w:val="000000" w:themeColor="text1"/>
        </w:rPr>
        <w:t xml:space="preserve"> </w:t>
      </w:r>
      <w:r w:rsidR="004E4404">
        <w:rPr>
          <w:color w:val="000000" w:themeColor="text1"/>
        </w:rPr>
        <w:t>C</w:t>
      </w:r>
      <w:r w:rsidR="004E4404" w:rsidRPr="00D37F8B">
        <w:rPr>
          <w:color w:val="000000" w:themeColor="text1"/>
        </w:rPr>
        <w:t xml:space="preserve">ommercial and industrial </w:t>
      </w:r>
      <w:r w:rsidR="004E4404">
        <w:rPr>
          <w:color w:val="000000" w:themeColor="text1"/>
        </w:rPr>
        <w:t>(</w:t>
      </w:r>
      <w:r w:rsidR="004E4404" w:rsidRPr="00A257AF">
        <w:rPr>
          <w:color w:val="000000" w:themeColor="text1"/>
        </w:rPr>
        <w:t>C&amp;I</w:t>
      </w:r>
      <w:r w:rsidR="004E4404">
        <w:rPr>
          <w:color w:val="000000" w:themeColor="text1"/>
        </w:rPr>
        <w:t>)</w:t>
      </w:r>
      <w:r w:rsidR="004E4404" w:rsidRPr="00A257AF">
        <w:rPr>
          <w:color w:val="000000" w:themeColor="text1"/>
        </w:rPr>
        <w:t xml:space="preserve"> customers with Maximum Monthly Demand equaling or exceeding 200 kW</w:t>
      </w:r>
      <w:r w:rsidR="009F7497">
        <w:rPr>
          <w:color w:val="000000" w:themeColor="text1"/>
        </w:rPr>
        <w:t>,</w:t>
      </w:r>
      <w:r w:rsidR="007763E0">
        <w:rPr>
          <w:color w:val="000000" w:themeColor="text1"/>
        </w:rPr>
        <w:t xml:space="preserve"> </w:t>
      </w:r>
      <w:r w:rsidR="007763E0">
        <w:rPr>
          <w:color w:val="auto"/>
        </w:rPr>
        <w:t>customers who choose to enroll in one of the Large C&amp;I rates,</w:t>
      </w:r>
      <w:r w:rsidR="007763E0" w:rsidRPr="00237658">
        <w:rPr>
          <w:color w:val="auto"/>
        </w:rPr>
        <w:t xml:space="preserve"> or customers who wish to utilize substation or transmission level services</w:t>
      </w:r>
      <w:r w:rsidR="004E4404" w:rsidRPr="00A257AF">
        <w:rPr>
          <w:color w:val="000000" w:themeColor="text1"/>
        </w:rPr>
        <w:t xml:space="preserve"> will be classified </w:t>
      </w:r>
      <w:r w:rsidR="004E4404">
        <w:rPr>
          <w:color w:val="000000" w:themeColor="text1"/>
        </w:rPr>
        <w:t>into the</w:t>
      </w:r>
      <w:r w:rsidR="004E4404" w:rsidRPr="00A257AF">
        <w:rPr>
          <w:color w:val="000000" w:themeColor="text1"/>
        </w:rPr>
        <w:t xml:space="preserve"> Large C&amp;I customer</w:t>
      </w:r>
      <w:r w:rsidR="004E4404">
        <w:rPr>
          <w:color w:val="000000" w:themeColor="text1"/>
        </w:rPr>
        <w:t xml:space="preserve"> class</w:t>
      </w:r>
      <w:r w:rsidR="004E4404" w:rsidRPr="00B608D1">
        <w:rPr>
          <w:color w:val="auto"/>
        </w:rPr>
        <w:t xml:space="preserve">. </w:t>
      </w:r>
      <w:r w:rsidR="005D3A81">
        <w:rPr>
          <w:color w:val="auto"/>
        </w:rPr>
        <w:t>The Medium Commercial customer class offers</w:t>
      </w:r>
      <w:r w:rsidR="005D3A81">
        <w:rPr>
          <w:color w:val="000000" w:themeColor="text1"/>
        </w:rPr>
        <w:t xml:space="preserve"> </w:t>
      </w:r>
      <w:r w:rsidR="005D3A81" w:rsidRPr="00D37F8B">
        <w:rPr>
          <w:color w:val="000000" w:themeColor="text1"/>
        </w:rPr>
        <w:t>CPUC Schedules AL-TOU-M, TOU-M, DG-R-M, EV-HP, and OL-TOU</w:t>
      </w:r>
      <w:r w:rsidR="00343035">
        <w:rPr>
          <w:color w:val="000000" w:themeColor="text1"/>
        </w:rPr>
        <w:t xml:space="preserve"> and the Large C&amp;I customer </w:t>
      </w:r>
      <w:r w:rsidR="00343035">
        <w:rPr>
          <w:color w:val="000000" w:themeColor="text1"/>
        </w:rPr>
        <w:lastRenderedPageBreak/>
        <w:t xml:space="preserve">class offers CPUC Schedules </w:t>
      </w:r>
      <w:r w:rsidR="00307CB8">
        <w:rPr>
          <w:color w:val="000000" w:themeColor="text1"/>
        </w:rPr>
        <w:t xml:space="preserve">AL-TOU-L, AL-TOU-2, DG-R-L, </w:t>
      </w:r>
      <w:r w:rsidR="00C14FFE">
        <w:rPr>
          <w:color w:val="000000" w:themeColor="text1"/>
        </w:rPr>
        <w:t>A6-TOU</w:t>
      </w:r>
      <w:r w:rsidR="00893243">
        <w:rPr>
          <w:color w:val="000000" w:themeColor="text1"/>
        </w:rPr>
        <w:t>, VGI, GIR, and Standby</w:t>
      </w:r>
      <w:r w:rsidR="005D3A81" w:rsidRPr="00D37F8B">
        <w:rPr>
          <w:color w:val="000000" w:themeColor="text1"/>
        </w:rPr>
        <w:t>.</w:t>
      </w:r>
    </w:p>
    <w:p w14:paraId="4A43224A" w14:textId="52D70762" w:rsidR="00DF0322" w:rsidRPr="00954E49" w:rsidRDefault="00696F44" w:rsidP="23D4C5F0">
      <w:pPr>
        <w:pStyle w:val="BodyText2"/>
        <w:ind w:firstLine="0"/>
        <w:rPr>
          <w:color w:val="auto"/>
        </w:rPr>
      </w:pPr>
      <w:r>
        <w:rPr>
          <w:color w:val="auto"/>
        </w:rPr>
        <w:tab/>
      </w:r>
      <w:r w:rsidR="00096C1A" w:rsidRPr="00E04926">
        <w:rPr>
          <w:color w:val="auto"/>
        </w:rPr>
        <w:tab/>
      </w:r>
      <w:r w:rsidR="00981FB8" w:rsidRPr="00E04926">
        <w:rPr>
          <w:color w:val="auto"/>
        </w:rPr>
        <w:t>SDG&amp;E implemented CPUC jurisdictional rates on April 1, 2026, t</w:t>
      </w:r>
      <w:r w:rsidR="00565F7A">
        <w:rPr>
          <w:color w:val="auto"/>
        </w:rPr>
        <w:t>o</w:t>
      </w:r>
      <w:r w:rsidR="00981FB8" w:rsidRPr="00E04926">
        <w:rPr>
          <w:color w:val="auto"/>
        </w:rPr>
        <w:t xml:space="preserve"> reflect </w:t>
      </w:r>
      <w:r w:rsidR="00565F7A">
        <w:rPr>
          <w:color w:val="auto"/>
        </w:rPr>
        <w:t>that</w:t>
      </w:r>
      <w:r w:rsidR="00565F7A" w:rsidRPr="00E04926">
        <w:rPr>
          <w:color w:val="auto"/>
        </w:rPr>
        <w:t xml:space="preserve"> </w:t>
      </w:r>
      <w:r w:rsidR="00981FB8" w:rsidRPr="00E04926">
        <w:rPr>
          <w:color w:val="auto"/>
        </w:rPr>
        <w:t>Medium Commercial class</w:t>
      </w:r>
      <w:r w:rsidR="00565F7A">
        <w:rPr>
          <w:color w:val="auto"/>
        </w:rPr>
        <w:t>.</w:t>
      </w:r>
      <w:r w:rsidR="00981FB8" w:rsidRPr="00E04926">
        <w:rPr>
          <w:rStyle w:val="FootnoteReference"/>
          <w:color w:val="auto"/>
        </w:rPr>
        <w:footnoteReference w:id="2"/>
      </w:r>
      <w:r w:rsidR="00B0578A" w:rsidRPr="00E04926">
        <w:rPr>
          <w:color w:val="auto"/>
        </w:rPr>
        <w:t xml:space="preserve"> </w:t>
      </w:r>
      <w:r w:rsidR="00B97451">
        <w:rPr>
          <w:color w:val="auto"/>
        </w:rPr>
        <w:t>But SDG&amp;E lacks a Medium Commercial rate class at FERC, causing inconsistency</w:t>
      </w:r>
      <w:r w:rsidR="00981FB8" w:rsidRPr="00E04926" w:rsidDel="006A3B36">
        <w:rPr>
          <w:color w:val="auto"/>
        </w:rPr>
        <w:t xml:space="preserve"> </w:t>
      </w:r>
      <w:r w:rsidR="00565F7A">
        <w:rPr>
          <w:color w:val="auto"/>
        </w:rPr>
        <w:t>for customers</w:t>
      </w:r>
      <w:r w:rsidR="00B97451">
        <w:rPr>
          <w:color w:val="auto"/>
        </w:rPr>
        <w:t xml:space="preserve"> </w:t>
      </w:r>
      <w:r w:rsidR="005434AC">
        <w:rPr>
          <w:color w:val="auto"/>
        </w:rPr>
        <w:t>b</w:t>
      </w:r>
      <w:r w:rsidR="00D2224B">
        <w:rPr>
          <w:color w:val="auto"/>
        </w:rPr>
        <w:t xml:space="preserve">ecause </w:t>
      </w:r>
      <w:r w:rsidR="00756D42">
        <w:rPr>
          <w:color w:val="auto"/>
        </w:rPr>
        <w:t>c</w:t>
      </w:r>
      <w:r w:rsidR="00981FB8" w:rsidRPr="00E04926">
        <w:rPr>
          <w:color w:val="auto"/>
        </w:rPr>
        <w:t xml:space="preserve">urrent FERC rates are based on </w:t>
      </w:r>
      <w:r w:rsidR="0038362F">
        <w:rPr>
          <w:color w:val="auto"/>
        </w:rPr>
        <w:t>SDG&amp;E’s</w:t>
      </w:r>
      <w:r w:rsidR="0038362F" w:rsidRPr="00E04926">
        <w:rPr>
          <w:color w:val="auto"/>
        </w:rPr>
        <w:t xml:space="preserve"> </w:t>
      </w:r>
      <w:r w:rsidR="0038362F">
        <w:rPr>
          <w:color w:val="auto"/>
        </w:rPr>
        <w:t xml:space="preserve">legacy </w:t>
      </w:r>
      <w:r w:rsidR="0038362F" w:rsidRPr="00E04926">
        <w:rPr>
          <w:color w:val="auto"/>
        </w:rPr>
        <w:t>combined M</w:t>
      </w:r>
      <w:r w:rsidR="0038362F">
        <w:rPr>
          <w:color w:val="auto"/>
        </w:rPr>
        <w:t>&amp;</w:t>
      </w:r>
      <w:r w:rsidR="0038362F" w:rsidRPr="00E04926">
        <w:rPr>
          <w:color w:val="auto"/>
        </w:rPr>
        <w:t>L C</w:t>
      </w:r>
      <w:r w:rsidR="0038362F">
        <w:rPr>
          <w:color w:val="auto"/>
        </w:rPr>
        <w:t>/</w:t>
      </w:r>
      <w:r w:rsidR="0038362F" w:rsidRPr="00E04926">
        <w:rPr>
          <w:color w:val="auto"/>
        </w:rPr>
        <w:t>I class</w:t>
      </w:r>
      <w:r w:rsidR="005434AC">
        <w:rPr>
          <w:color w:val="auto"/>
        </w:rPr>
        <w:t>.</w:t>
      </w:r>
      <w:r w:rsidR="0038362F" w:rsidRPr="00E04926">
        <w:rPr>
          <w:color w:val="auto"/>
        </w:rPr>
        <w:t xml:space="preserve"> </w:t>
      </w:r>
      <w:r w:rsidR="00E04926" w:rsidRPr="00E04926">
        <w:rPr>
          <w:color w:val="auto"/>
        </w:rPr>
        <w:t>SDG&amp;E</w:t>
      </w:r>
      <w:r w:rsidR="00E04926" w:rsidRPr="00E04926" w:rsidDel="00500F3D">
        <w:rPr>
          <w:color w:val="auto"/>
        </w:rPr>
        <w:t xml:space="preserve"> </w:t>
      </w:r>
      <w:r w:rsidR="00500F3D" w:rsidRPr="00E04926">
        <w:rPr>
          <w:color w:val="auto"/>
        </w:rPr>
        <w:t>re</w:t>
      </w:r>
      <w:r w:rsidR="00500F3D">
        <w:rPr>
          <w:color w:val="auto"/>
        </w:rPr>
        <w:t>quests</w:t>
      </w:r>
      <w:r w:rsidR="00500F3D" w:rsidRPr="00E04926">
        <w:rPr>
          <w:color w:val="auto"/>
        </w:rPr>
        <w:t xml:space="preserve"> </w:t>
      </w:r>
      <w:r w:rsidR="00E04926" w:rsidRPr="00E04926">
        <w:rPr>
          <w:color w:val="auto"/>
        </w:rPr>
        <w:t xml:space="preserve">that FERC adopt SDG&amp;E’s proposal to create a separate Medium </w:t>
      </w:r>
      <w:r w:rsidR="00954E49">
        <w:rPr>
          <w:color w:val="auto"/>
        </w:rPr>
        <w:t xml:space="preserve">Commercial </w:t>
      </w:r>
      <w:r w:rsidR="00E04926" w:rsidRPr="00E04926">
        <w:rPr>
          <w:color w:val="auto"/>
        </w:rPr>
        <w:t xml:space="preserve">class for FERC transmission rate design purposes, consistent with the Medium </w:t>
      </w:r>
      <w:r w:rsidR="00954E49">
        <w:rPr>
          <w:color w:val="auto"/>
        </w:rPr>
        <w:t xml:space="preserve">Commercial </w:t>
      </w:r>
      <w:r w:rsidR="00E04926" w:rsidRPr="00E04926">
        <w:rPr>
          <w:color w:val="auto"/>
        </w:rPr>
        <w:t xml:space="preserve">class definition </w:t>
      </w:r>
      <w:r w:rsidR="00756D42">
        <w:rPr>
          <w:color w:val="auto"/>
        </w:rPr>
        <w:t>as approved by the CPUC in D.25-09-006 and as provided in</w:t>
      </w:r>
      <w:r w:rsidR="00E04926" w:rsidRPr="00E04926">
        <w:rPr>
          <w:color w:val="auto"/>
        </w:rPr>
        <w:t xml:space="preserve"> </w:t>
      </w:r>
      <w:r w:rsidR="00E04926" w:rsidRPr="00954E49">
        <w:rPr>
          <w:color w:val="auto"/>
        </w:rPr>
        <w:t>SDG&amp;E’s CPUC tariffs.</w:t>
      </w:r>
      <w:r w:rsidR="00981FB8" w:rsidRPr="00954E49">
        <w:rPr>
          <w:color w:val="auto"/>
        </w:rPr>
        <w:t xml:space="preserve"> </w:t>
      </w:r>
    </w:p>
    <w:p w14:paraId="524D4752" w14:textId="73348667" w:rsidR="00DF0322" w:rsidRPr="00954E49" w:rsidRDefault="00DF0322" w:rsidP="00CB3AB6">
      <w:pPr>
        <w:pStyle w:val="BodyText2"/>
        <w:rPr>
          <w:b/>
          <w:bCs/>
          <w:color w:val="auto"/>
        </w:rPr>
      </w:pPr>
      <w:r w:rsidRPr="00954E49">
        <w:rPr>
          <w:b/>
          <w:bCs/>
          <w:color w:val="auto"/>
        </w:rPr>
        <w:t>Q7.</w:t>
      </w:r>
      <w:r w:rsidRPr="00954E49">
        <w:rPr>
          <w:b/>
          <w:bCs/>
          <w:color w:val="auto"/>
        </w:rPr>
        <w:tab/>
      </w:r>
      <w:r w:rsidR="00954E49" w:rsidRPr="00954E49">
        <w:rPr>
          <w:b/>
          <w:bCs/>
          <w:color w:val="auto"/>
        </w:rPr>
        <w:t xml:space="preserve">Please describe the rate classes that are affected by SDG&amp;E’s proposal to create a new Medium Commercial </w:t>
      </w:r>
      <w:r w:rsidR="003300D7">
        <w:rPr>
          <w:b/>
          <w:bCs/>
          <w:color w:val="auto"/>
        </w:rPr>
        <w:t>C</w:t>
      </w:r>
      <w:r w:rsidR="00954E49" w:rsidRPr="00954E49">
        <w:rPr>
          <w:b/>
          <w:bCs/>
          <w:color w:val="auto"/>
        </w:rPr>
        <w:t>lass.</w:t>
      </w:r>
    </w:p>
    <w:p w14:paraId="5036CFA3" w14:textId="299B05E9" w:rsidR="00E11274" w:rsidRDefault="00DF0322" w:rsidP="00CB3AB6">
      <w:pPr>
        <w:pStyle w:val="BodyText2"/>
        <w:rPr>
          <w:color w:val="auto"/>
        </w:rPr>
      </w:pPr>
      <w:r w:rsidRPr="00954E49">
        <w:rPr>
          <w:color w:val="auto"/>
        </w:rPr>
        <w:t>A7.</w:t>
      </w:r>
      <w:r w:rsidRPr="00954E49">
        <w:rPr>
          <w:color w:val="auto"/>
        </w:rPr>
        <w:tab/>
      </w:r>
      <w:r w:rsidR="00123189">
        <w:rPr>
          <w:color w:val="auto"/>
        </w:rPr>
        <w:t xml:space="preserve">SDG&amp;E’s </w:t>
      </w:r>
      <w:r w:rsidR="007C742F">
        <w:rPr>
          <w:color w:val="auto"/>
        </w:rPr>
        <w:t xml:space="preserve">proposal will impact customers </w:t>
      </w:r>
      <w:r w:rsidR="001E0447">
        <w:rPr>
          <w:color w:val="auto"/>
        </w:rPr>
        <w:t>that are part of</w:t>
      </w:r>
      <w:r w:rsidR="007C742F">
        <w:rPr>
          <w:color w:val="auto"/>
        </w:rPr>
        <w:t xml:space="preserve"> </w:t>
      </w:r>
      <w:r w:rsidR="00A12A54">
        <w:rPr>
          <w:color w:val="auto"/>
        </w:rPr>
        <w:t xml:space="preserve">the Small Commercial and </w:t>
      </w:r>
      <w:r w:rsidR="007C742F">
        <w:rPr>
          <w:color w:val="auto"/>
        </w:rPr>
        <w:t xml:space="preserve">the legacy M/L C&amp;I </w:t>
      </w:r>
      <w:r w:rsidR="00E21106">
        <w:rPr>
          <w:color w:val="auto"/>
        </w:rPr>
        <w:t>customer</w:t>
      </w:r>
      <w:r w:rsidR="00A12A54">
        <w:rPr>
          <w:color w:val="auto"/>
        </w:rPr>
        <w:t xml:space="preserve"> class</w:t>
      </w:r>
      <w:r w:rsidR="00A24DF1">
        <w:rPr>
          <w:color w:val="auto"/>
        </w:rPr>
        <w:t>es</w:t>
      </w:r>
      <w:r w:rsidR="00A12A54">
        <w:rPr>
          <w:color w:val="auto"/>
        </w:rPr>
        <w:t xml:space="preserve">. </w:t>
      </w:r>
    </w:p>
    <w:p w14:paraId="5D33E1CB" w14:textId="2E39F1FC" w:rsidR="00BC52AA" w:rsidRDefault="00E11274" w:rsidP="23D4C5F0">
      <w:pPr>
        <w:pStyle w:val="BodyText2"/>
        <w:ind w:firstLine="0"/>
        <w:rPr>
          <w:color w:val="auto"/>
        </w:rPr>
      </w:pPr>
      <w:r>
        <w:rPr>
          <w:color w:val="auto"/>
        </w:rPr>
        <w:tab/>
      </w:r>
      <w:r>
        <w:rPr>
          <w:color w:val="auto"/>
        </w:rPr>
        <w:tab/>
      </w:r>
      <w:r w:rsidR="00954E49" w:rsidRPr="00954E49">
        <w:rPr>
          <w:color w:val="auto"/>
        </w:rPr>
        <w:t>Schedule TOU-M is currently included in th</w:t>
      </w:r>
      <w:r w:rsidR="00756D42">
        <w:rPr>
          <w:color w:val="auto"/>
        </w:rPr>
        <w:t>e</w:t>
      </w:r>
      <w:r w:rsidR="00954E49" w:rsidRPr="00954E49">
        <w:rPr>
          <w:color w:val="auto"/>
        </w:rPr>
        <w:t xml:space="preserve"> Small Commercial class</w:t>
      </w:r>
      <w:r w:rsidR="0075703A">
        <w:rPr>
          <w:color w:val="auto"/>
        </w:rPr>
        <w:t xml:space="preserve"> for FERC rates</w:t>
      </w:r>
      <w:r w:rsidR="001908BA">
        <w:rPr>
          <w:color w:val="auto"/>
        </w:rPr>
        <w:t xml:space="preserve"> but will be moved to the Medium Commercial rate class</w:t>
      </w:r>
      <w:r w:rsidR="00DF11B2">
        <w:rPr>
          <w:color w:val="auto"/>
        </w:rPr>
        <w:t>.</w:t>
      </w:r>
      <w:r w:rsidR="00897921" w:rsidRPr="00897921">
        <w:rPr>
          <w:color w:val="auto"/>
        </w:rPr>
        <w:t xml:space="preserve"> </w:t>
      </w:r>
      <w:r w:rsidR="00897921">
        <w:rPr>
          <w:color w:val="auto"/>
        </w:rPr>
        <w:t>SDG&amp;E is not proposing to change the rate design for the Small Commercial class</w:t>
      </w:r>
      <w:r w:rsidR="009962DA">
        <w:rPr>
          <w:color w:val="auto"/>
        </w:rPr>
        <w:t>.</w:t>
      </w:r>
      <w:r w:rsidR="00897921">
        <w:rPr>
          <w:color w:val="auto"/>
        </w:rPr>
        <w:t xml:space="preserve"> </w:t>
      </w:r>
      <w:r w:rsidR="00CD6155">
        <w:rPr>
          <w:color w:val="auto"/>
        </w:rPr>
        <w:t>R</w:t>
      </w:r>
      <w:r w:rsidR="00897921">
        <w:rPr>
          <w:color w:val="auto"/>
        </w:rPr>
        <w:t>eclassifying Schedule TOU-M will remove the</w:t>
      </w:r>
      <w:r w:rsidR="00DF11B2">
        <w:rPr>
          <w:color w:val="auto"/>
        </w:rPr>
        <w:t xml:space="preserve"> </w:t>
      </w:r>
      <w:r w:rsidR="00897921">
        <w:rPr>
          <w:color w:val="auto"/>
        </w:rPr>
        <w:t xml:space="preserve">Schedule </w:t>
      </w:r>
      <w:r w:rsidR="00DF11B2">
        <w:rPr>
          <w:color w:val="auto"/>
        </w:rPr>
        <w:t>TOU-M demand determinants</w:t>
      </w:r>
      <w:r w:rsidR="005B5F9E">
        <w:rPr>
          <w:color w:val="auto"/>
        </w:rPr>
        <w:t>,</w:t>
      </w:r>
      <w:r w:rsidR="00DF11B2">
        <w:rPr>
          <w:color w:val="auto"/>
        </w:rPr>
        <w:t xml:space="preserve"> </w:t>
      </w:r>
      <w:r w:rsidR="00C629C0">
        <w:rPr>
          <w:color w:val="auto"/>
        </w:rPr>
        <w:t xml:space="preserve">which will </w:t>
      </w:r>
      <w:r w:rsidR="00CA15B8">
        <w:rPr>
          <w:color w:val="auto"/>
        </w:rPr>
        <w:t>caus</w:t>
      </w:r>
      <w:r w:rsidR="00C629C0">
        <w:rPr>
          <w:color w:val="auto"/>
        </w:rPr>
        <w:t>e</w:t>
      </w:r>
      <w:r w:rsidR="00CA15B8">
        <w:rPr>
          <w:color w:val="auto"/>
        </w:rPr>
        <w:t xml:space="preserve"> a </w:t>
      </w:r>
      <w:r w:rsidR="00DF11B2">
        <w:rPr>
          <w:color w:val="auto"/>
        </w:rPr>
        <w:t xml:space="preserve">change </w:t>
      </w:r>
      <w:r w:rsidR="00CA15B8">
        <w:rPr>
          <w:color w:val="auto"/>
        </w:rPr>
        <w:t xml:space="preserve">to </w:t>
      </w:r>
      <w:r w:rsidR="00DF11B2">
        <w:rPr>
          <w:color w:val="auto"/>
        </w:rPr>
        <w:t xml:space="preserve">the allocation of </w:t>
      </w:r>
      <w:r w:rsidR="00E03DE7">
        <w:rPr>
          <w:color w:val="auto"/>
        </w:rPr>
        <w:t xml:space="preserve">revenue requirement </w:t>
      </w:r>
      <w:r w:rsidR="00DF11B2">
        <w:rPr>
          <w:color w:val="auto"/>
        </w:rPr>
        <w:t xml:space="preserve">dollars </w:t>
      </w:r>
      <w:r w:rsidR="00843AA6">
        <w:rPr>
          <w:color w:val="auto"/>
        </w:rPr>
        <w:t xml:space="preserve">for the </w:t>
      </w:r>
      <w:r w:rsidR="002E7032">
        <w:rPr>
          <w:color w:val="auto"/>
        </w:rPr>
        <w:t>remaining</w:t>
      </w:r>
      <w:r w:rsidR="00843AA6">
        <w:rPr>
          <w:color w:val="auto"/>
        </w:rPr>
        <w:t xml:space="preserve"> Small Commercial class.</w:t>
      </w:r>
      <w:r w:rsidR="00381364">
        <w:rPr>
          <w:color w:val="auto"/>
        </w:rPr>
        <w:t xml:space="preserve"> </w:t>
      </w:r>
    </w:p>
    <w:p w14:paraId="535F92F1" w14:textId="432CD95E" w:rsidR="00E90D07" w:rsidRDefault="007D300D" w:rsidP="23D4C5F0">
      <w:pPr>
        <w:pStyle w:val="BodyText2"/>
        <w:ind w:firstLine="0"/>
        <w:rPr>
          <w:color w:val="auto"/>
        </w:rPr>
      </w:pPr>
      <w:r>
        <w:rPr>
          <w:color w:val="auto"/>
        </w:rPr>
        <w:tab/>
      </w:r>
      <w:r>
        <w:rPr>
          <w:color w:val="auto"/>
        </w:rPr>
        <w:tab/>
        <w:t xml:space="preserve">SDG&amp;E currently includes </w:t>
      </w:r>
      <w:r w:rsidR="00954E49" w:rsidRPr="00954E49">
        <w:rPr>
          <w:color w:val="auto"/>
        </w:rPr>
        <w:t xml:space="preserve">Schedules AL-TOU-M, DG-R-M, EV-HP, and OL-TOU in the </w:t>
      </w:r>
      <w:r w:rsidR="00702E94">
        <w:rPr>
          <w:color w:val="auto"/>
        </w:rPr>
        <w:t>legacy</w:t>
      </w:r>
      <w:r w:rsidR="00954E49" w:rsidRPr="00954E49">
        <w:rPr>
          <w:color w:val="auto"/>
        </w:rPr>
        <w:t xml:space="preserve"> M&amp;L C/I class.</w:t>
      </w:r>
      <w:r w:rsidR="00843AA6">
        <w:rPr>
          <w:color w:val="auto"/>
        </w:rPr>
        <w:t xml:space="preserve"> Separating the M&amp;L C/I class into </w:t>
      </w:r>
      <w:r w:rsidR="006B229E">
        <w:rPr>
          <w:color w:val="auto"/>
        </w:rPr>
        <w:t xml:space="preserve">the Medium </w:t>
      </w:r>
      <w:r w:rsidR="006B229E">
        <w:rPr>
          <w:color w:val="auto"/>
        </w:rPr>
        <w:lastRenderedPageBreak/>
        <w:t>Commercial and Large C&amp;I</w:t>
      </w:r>
      <w:r w:rsidR="00843AA6">
        <w:rPr>
          <w:color w:val="auto"/>
        </w:rPr>
        <w:t xml:space="preserve"> classes will </w:t>
      </w:r>
      <w:r w:rsidR="006B229E">
        <w:rPr>
          <w:color w:val="auto"/>
        </w:rPr>
        <w:t xml:space="preserve">separate </w:t>
      </w:r>
      <w:r w:rsidR="00843AA6">
        <w:rPr>
          <w:color w:val="auto"/>
        </w:rPr>
        <w:t xml:space="preserve">the sales and demand determinants, changing the allocation of </w:t>
      </w:r>
      <w:r w:rsidR="003F073E">
        <w:rPr>
          <w:color w:val="auto"/>
        </w:rPr>
        <w:t xml:space="preserve">revenue requirement </w:t>
      </w:r>
      <w:r w:rsidR="00843AA6">
        <w:rPr>
          <w:color w:val="auto"/>
        </w:rPr>
        <w:t xml:space="preserve">dollars for customers currently enrolled in the </w:t>
      </w:r>
      <w:r w:rsidR="00702E94">
        <w:rPr>
          <w:color w:val="auto"/>
        </w:rPr>
        <w:t xml:space="preserve">legacy </w:t>
      </w:r>
      <w:r w:rsidR="00843AA6">
        <w:rPr>
          <w:color w:val="auto"/>
        </w:rPr>
        <w:t>M&amp;L C/I class.</w:t>
      </w:r>
      <w:r w:rsidR="00954E49" w:rsidRPr="00954E49">
        <w:rPr>
          <w:color w:val="auto"/>
        </w:rPr>
        <w:t xml:space="preserve"> </w:t>
      </w:r>
    </w:p>
    <w:p w14:paraId="2F3BBBE7" w14:textId="49076A86" w:rsidR="00EC0649" w:rsidRDefault="00A257AF" w:rsidP="00101418">
      <w:pPr>
        <w:pStyle w:val="BodyText2"/>
        <w:rPr>
          <w:b/>
          <w:bCs/>
          <w:color w:val="auto"/>
        </w:rPr>
      </w:pPr>
      <w:r>
        <w:rPr>
          <w:color w:val="auto"/>
        </w:rPr>
        <w:t xml:space="preserve"> </w:t>
      </w:r>
      <w:r w:rsidR="00EC0649" w:rsidRPr="00237658">
        <w:rPr>
          <w:color w:val="auto"/>
        </w:rPr>
        <w:t xml:space="preserve"> </w:t>
      </w:r>
      <w:r w:rsidR="00EC0649">
        <w:rPr>
          <w:b/>
          <w:bCs/>
          <w:color w:val="auto"/>
        </w:rPr>
        <w:t xml:space="preserve">Q8. </w:t>
      </w:r>
      <w:r w:rsidR="00EC0649">
        <w:rPr>
          <w:b/>
          <w:bCs/>
          <w:color w:val="auto"/>
        </w:rPr>
        <w:tab/>
        <w:t xml:space="preserve">Please describe the </w:t>
      </w:r>
      <w:r w:rsidR="00237658">
        <w:rPr>
          <w:b/>
          <w:bCs/>
          <w:color w:val="auto"/>
        </w:rPr>
        <w:t>treatment of rate schedules with the new Medium Commercial Class.</w:t>
      </w:r>
    </w:p>
    <w:p w14:paraId="61D5C9E8" w14:textId="0E7EB875" w:rsidR="006C03A1" w:rsidRDefault="00237658" w:rsidP="00CB3AB6">
      <w:pPr>
        <w:pStyle w:val="BodyText2"/>
        <w:rPr>
          <w:color w:val="auto"/>
        </w:rPr>
      </w:pPr>
      <w:r>
        <w:rPr>
          <w:color w:val="auto"/>
        </w:rPr>
        <w:t xml:space="preserve">A8. </w:t>
      </w:r>
      <w:r>
        <w:rPr>
          <w:color w:val="auto"/>
        </w:rPr>
        <w:tab/>
      </w:r>
      <w:r w:rsidR="00B740D4">
        <w:rPr>
          <w:color w:val="auto"/>
        </w:rPr>
        <w:t xml:space="preserve">To be consistent with </w:t>
      </w:r>
      <w:r w:rsidR="00D91CBF">
        <w:rPr>
          <w:color w:val="auto"/>
        </w:rPr>
        <w:t xml:space="preserve">its </w:t>
      </w:r>
      <w:r w:rsidR="00B740D4">
        <w:rPr>
          <w:color w:val="auto"/>
        </w:rPr>
        <w:t>CPUC</w:t>
      </w:r>
      <w:r w:rsidR="00D91CBF">
        <w:rPr>
          <w:color w:val="auto"/>
        </w:rPr>
        <w:t>-jurisdictional rates</w:t>
      </w:r>
      <w:r w:rsidR="004222A5">
        <w:rPr>
          <w:color w:val="auto"/>
        </w:rPr>
        <w:t xml:space="preserve">, </w:t>
      </w:r>
      <w:r w:rsidR="00106A13">
        <w:rPr>
          <w:color w:val="auto"/>
        </w:rPr>
        <w:t>SDG&amp;E propos</w:t>
      </w:r>
      <w:r w:rsidR="00685382">
        <w:rPr>
          <w:color w:val="auto"/>
        </w:rPr>
        <w:t>es</w:t>
      </w:r>
      <w:r w:rsidR="00106A13">
        <w:rPr>
          <w:color w:val="auto"/>
        </w:rPr>
        <w:t xml:space="preserve"> </w:t>
      </w:r>
      <w:r w:rsidR="00C47CA7">
        <w:rPr>
          <w:color w:val="auto"/>
        </w:rPr>
        <w:t xml:space="preserve">Schedule </w:t>
      </w:r>
      <w:r w:rsidR="00EE508A">
        <w:rPr>
          <w:color w:val="auto"/>
        </w:rPr>
        <w:t xml:space="preserve">AL-TOU-M </w:t>
      </w:r>
      <w:r w:rsidR="004222A5">
        <w:rPr>
          <w:color w:val="auto"/>
        </w:rPr>
        <w:t xml:space="preserve">to </w:t>
      </w:r>
      <w:r w:rsidR="00EE508A">
        <w:rPr>
          <w:color w:val="auto"/>
        </w:rPr>
        <w:t>be the default rate for the Medium Commercial class</w:t>
      </w:r>
      <w:r w:rsidR="004222A5">
        <w:rPr>
          <w:color w:val="auto"/>
        </w:rPr>
        <w:t>.</w:t>
      </w:r>
      <w:r w:rsidR="00EE508A">
        <w:rPr>
          <w:color w:val="auto"/>
        </w:rPr>
        <w:t xml:space="preserve"> </w:t>
      </w:r>
      <w:r w:rsidR="00D91CBF">
        <w:rPr>
          <w:color w:val="auto"/>
        </w:rPr>
        <w:t>As noted, on</w:t>
      </w:r>
      <w:r w:rsidR="004A7F6E">
        <w:rPr>
          <w:color w:val="auto"/>
        </w:rPr>
        <w:t xml:space="preserve"> April 1, 2026, </w:t>
      </w:r>
      <w:r w:rsidR="00057CBD">
        <w:rPr>
          <w:color w:val="auto"/>
        </w:rPr>
        <w:t xml:space="preserve">SDG&amp;E </w:t>
      </w:r>
      <w:r w:rsidR="00400B7E">
        <w:rPr>
          <w:color w:val="auto"/>
        </w:rPr>
        <w:t xml:space="preserve">implemented the </w:t>
      </w:r>
      <w:r w:rsidR="005C66F4">
        <w:rPr>
          <w:color w:val="auto"/>
        </w:rPr>
        <w:t>Medium Commercial rate class</w:t>
      </w:r>
      <w:r w:rsidR="00EB1E9E">
        <w:rPr>
          <w:color w:val="auto"/>
        </w:rPr>
        <w:t xml:space="preserve"> for its CPUC-jurisdictional rates.</w:t>
      </w:r>
      <w:r w:rsidR="005C66F4">
        <w:rPr>
          <w:color w:val="auto"/>
        </w:rPr>
        <w:t xml:space="preserve"> </w:t>
      </w:r>
      <w:r w:rsidR="00EB1E9E">
        <w:rPr>
          <w:color w:val="auto"/>
        </w:rPr>
        <w:t>C</w:t>
      </w:r>
      <w:r w:rsidR="00057CBD">
        <w:rPr>
          <w:color w:val="auto"/>
        </w:rPr>
        <w:t xml:space="preserve">ustomers </w:t>
      </w:r>
      <w:r w:rsidR="00955368">
        <w:rPr>
          <w:color w:val="auto"/>
        </w:rPr>
        <w:t xml:space="preserve">were automatically moved to the Medium Commercial or Large C&amp;I </w:t>
      </w:r>
      <w:r w:rsidR="00076B32">
        <w:rPr>
          <w:color w:val="auto"/>
        </w:rPr>
        <w:t>class</w:t>
      </w:r>
      <w:r w:rsidR="00CE641B">
        <w:rPr>
          <w:color w:val="auto"/>
        </w:rPr>
        <w:t xml:space="preserve"> based on</w:t>
      </w:r>
      <w:r w:rsidR="00436410">
        <w:rPr>
          <w:color w:val="auto"/>
        </w:rPr>
        <w:t xml:space="preserve"> </w:t>
      </w:r>
      <w:r w:rsidR="00CE641B">
        <w:rPr>
          <w:color w:val="auto"/>
        </w:rPr>
        <w:t>the rate schedule they were on at th</w:t>
      </w:r>
      <w:r w:rsidR="00C338B7">
        <w:rPr>
          <w:color w:val="auto"/>
        </w:rPr>
        <w:t>at</w:t>
      </w:r>
      <w:r w:rsidR="00CE641B">
        <w:rPr>
          <w:color w:val="auto"/>
        </w:rPr>
        <w:t xml:space="preserve"> time</w:t>
      </w:r>
      <w:r w:rsidR="00A35777">
        <w:rPr>
          <w:color w:val="auto"/>
        </w:rPr>
        <w:t xml:space="preserve"> and their level of demand</w:t>
      </w:r>
      <w:r w:rsidR="00076B32">
        <w:rPr>
          <w:color w:val="auto"/>
        </w:rPr>
        <w:t xml:space="preserve">. </w:t>
      </w:r>
      <w:r w:rsidR="00286392">
        <w:rPr>
          <w:color w:val="auto"/>
        </w:rPr>
        <w:t xml:space="preserve">Medium Commercial customers retain the option to </w:t>
      </w:r>
      <w:r w:rsidR="002C4F83">
        <w:rPr>
          <w:color w:val="auto"/>
        </w:rPr>
        <w:t>r</w:t>
      </w:r>
      <w:r w:rsidR="00286392">
        <w:rPr>
          <w:color w:val="auto"/>
        </w:rPr>
        <w:t xml:space="preserve">eturn to the large versions of the </w:t>
      </w:r>
      <w:r w:rsidR="002B500F">
        <w:rPr>
          <w:color w:val="auto"/>
        </w:rPr>
        <w:t>respective</w:t>
      </w:r>
      <w:r w:rsidR="00286392">
        <w:rPr>
          <w:color w:val="auto"/>
        </w:rPr>
        <w:t xml:space="preserve"> rate schedule</w:t>
      </w:r>
      <w:r w:rsidR="002B500F">
        <w:rPr>
          <w:color w:val="auto"/>
        </w:rPr>
        <w:t xml:space="preserve"> if they</w:t>
      </w:r>
      <w:r w:rsidR="00A82035">
        <w:rPr>
          <w:color w:val="auto"/>
        </w:rPr>
        <w:t xml:space="preserve"> </w:t>
      </w:r>
      <w:r w:rsidR="002B500F">
        <w:rPr>
          <w:color w:val="auto"/>
        </w:rPr>
        <w:t>choose</w:t>
      </w:r>
      <w:r w:rsidR="00A82035">
        <w:rPr>
          <w:color w:val="auto"/>
        </w:rPr>
        <w:t>, however, Large C&amp;I customers c</w:t>
      </w:r>
      <w:r w:rsidR="00360BF0">
        <w:rPr>
          <w:color w:val="auto"/>
        </w:rPr>
        <w:t xml:space="preserve">an only </w:t>
      </w:r>
      <w:r w:rsidR="00454FDD">
        <w:rPr>
          <w:color w:val="auto"/>
        </w:rPr>
        <w:t xml:space="preserve">move to the Medium Commercial </w:t>
      </w:r>
      <w:r w:rsidR="003546BA">
        <w:rPr>
          <w:color w:val="auto"/>
        </w:rPr>
        <w:t>version if</w:t>
      </w:r>
      <w:r w:rsidR="00874B03">
        <w:rPr>
          <w:color w:val="auto"/>
        </w:rPr>
        <w:t xml:space="preserve"> the </w:t>
      </w:r>
      <w:r w:rsidR="00264924">
        <w:rPr>
          <w:color w:val="auto"/>
        </w:rPr>
        <w:t xml:space="preserve">customer’s </w:t>
      </w:r>
      <w:r w:rsidR="00874B03">
        <w:rPr>
          <w:color w:val="auto"/>
        </w:rPr>
        <w:t xml:space="preserve">demand </w:t>
      </w:r>
      <w:r w:rsidR="00AB1789">
        <w:rPr>
          <w:color w:val="auto"/>
        </w:rPr>
        <w:t xml:space="preserve">meets the Medium Commercial </w:t>
      </w:r>
      <w:r w:rsidR="00874B03">
        <w:rPr>
          <w:color w:val="auto"/>
        </w:rPr>
        <w:t>threshold</w:t>
      </w:r>
      <w:r w:rsidR="00F27AE9">
        <w:rPr>
          <w:color w:val="auto"/>
        </w:rPr>
        <w:t>s</w:t>
      </w:r>
      <w:r w:rsidR="00286392" w:rsidDel="00A01003">
        <w:rPr>
          <w:color w:val="auto"/>
        </w:rPr>
        <w:t>.</w:t>
      </w:r>
      <w:r w:rsidR="00286392">
        <w:rPr>
          <w:color w:val="auto"/>
        </w:rPr>
        <w:t xml:space="preserve"> </w:t>
      </w:r>
    </w:p>
    <w:p w14:paraId="26CC4462" w14:textId="2A291824" w:rsidR="00AF2474" w:rsidRDefault="006C03A1" w:rsidP="00945CE1">
      <w:pPr>
        <w:pStyle w:val="BodyText2"/>
        <w:rPr>
          <w:color w:val="auto"/>
        </w:rPr>
      </w:pPr>
      <w:r>
        <w:rPr>
          <w:color w:val="auto"/>
        </w:rPr>
        <w:tab/>
      </w:r>
      <w:r>
        <w:rPr>
          <w:color w:val="auto"/>
        </w:rPr>
        <w:tab/>
      </w:r>
      <w:r w:rsidR="00165D60">
        <w:rPr>
          <w:color w:val="auto"/>
        </w:rPr>
        <w:t xml:space="preserve">SDG&amp;E offers </w:t>
      </w:r>
      <w:r w:rsidR="00BB51BC">
        <w:rPr>
          <w:color w:val="auto"/>
        </w:rPr>
        <w:t xml:space="preserve">CPUC-jurisdictional </w:t>
      </w:r>
      <w:r w:rsidR="00165D60">
        <w:rPr>
          <w:color w:val="auto"/>
        </w:rPr>
        <w:t xml:space="preserve">Medium Commercial and Large C&amp;I versions of Schedule AL-TOU and DG-R, now referred to as AL-TOU-M or AL-TOU-L, and DG-R-M or DG-R-L, respectively. </w:t>
      </w:r>
      <w:r>
        <w:rPr>
          <w:color w:val="auto"/>
        </w:rPr>
        <w:t xml:space="preserve">The </w:t>
      </w:r>
      <w:r w:rsidR="002201DC">
        <w:rPr>
          <w:color w:val="auto"/>
        </w:rPr>
        <w:t>remaining</w:t>
      </w:r>
      <w:r>
        <w:rPr>
          <w:color w:val="auto"/>
        </w:rPr>
        <w:t xml:space="preserve"> schedules </w:t>
      </w:r>
      <w:r w:rsidR="00F50ACD">
        <w:rPr>
          <w:color w:val="auto"/>
        </w:rPr>
        <w:t>within</w:t>
      </w:r>
      <w:r>
        <w:rPr>
          <w:color w:val="auto"/>
        </w:rPr>
        <w:t xml:space="preserve"> the Medium Commercial class, </w:t>
      </w:r>
      <w:r w:rsidR="00485F17">
        <w:rPr>
          <w:color w:val="auto"/>
        </w:rPr>
        <w:t>Schedules EV-HP, TOU-M, and OL-TOU</w:t>
      </w:r>
      <w:r>
        <w:rPr>
          <w:color w:val="auto"/>
        </w:rPr>
        <w:t>,</w:t>
      </w:r>
      <w:r w:rsidR="00485F17">
        <w:rPr>
          <w:color w:val="auto"/>
        </w:rPr>
        <w:t xml:space="preserve"> </w:t>
      </w:r>
      <w:r w:rsidR="008862AE">
        <w:rPr>
          <w:color w:val="auto"/>
        </w:rPr>
        <w:t>a</w:t>
      </w:r>
      <w:r w:rsidR="00485F17">
        <w:rPr>
          <w:color w:val="auto"/>
        </w:rPr>
        <w:t>re classified</w:t>
      </w:r>
      <w:r w:rsidR="00C4755A">
        <w:rPr>
          <w:color w:val="auto"/>
        </w:rPr>
        <w:t xml:space="preserve"> </w:t>
      </w:r>
      <w:r w:rsidR="00485F17">
        <w:rPr>
          <w:color w:val="auto"/>
        </w:rPr>
        <w:t xml:space="preserve">in whole with no change to </w:t>
      </w:r>
      <w:r w:rsidR="00A315C6">
        <w:rPr>
          <w:color w:val="auto"/>
        </w:rPr>
        <w:t>treatment of the rate schedule or</w:t>
      </w:r>
      <w:r w:rsidR="00485F17">
        <w:rPr>
          <w:color w:val="auto"/>
        </w:rPr>
        <w:t xml:space="preserve"> </w:t>
      </w:r>
      <w:r w:rsidR="00775EF5">
        <w:rPr>
          <w:color w:val="auto"/>
        </w:rPr>
        <w:t xml:space="preserve">customers’ </w:t>
      </w:r>
      <w:r w:rsidR="00485F17">
        <w:rPr>
          <w:color w:val="auto"/>
        </w:rPr>
        <w:t xml:space="preserve">eligibility. </w:t>
      </w:r>
    </w:p>
    <w:p w14:paraId="76AE210B" w14:textId="10E0CC11" w:rsidR="00485F17" w:rsidRDefault="00AF2474" w:rsidP="00CB3AB6">
      <w:pPr>
        <w:pStyle w:val="BodyText2"/>
        <w:rPr>
          <w:color w:val="auto"/>
        </w:rPr>
      </w:pPr>
      <w:r>
        <w:rPr>
          <w:color w:val="auto"/>
        </w:rPr>
        <w:tab/>
      </w:r>
      <w:r>
        <w:rPr>
          <w:color w:val="auto"/>
        </w:rPr>
        <w:tab/>
        <w:t xml:space="preserve">While Schedule TOU-M was reclassified from the Small Commercial rate class, all other rate schedules in the Small Commercial customer class will </w:t>
      </w:r>
      <w:r w:rsidR="00322DAD">
        <w:rPr>
          <w:color w:val="auto"/>
        </w:rPr>
        <w:t>remain the same</w:t>
      </w:r>
      <w:r>
        <w:rPr>
          <w:color w:val="auto"/>
        </w:rPr>
        <w:t xml:space="preserve">. In a similar manner, Schedules AL-TOU-2, A6-TOU, VGI, GIR, and Standby will not be </w:t>
      </w:r>
      <w:r>
        <w:rPr>
          <w:color w:val="auto"/>
        </w:rPr>
        <w:lastRenderedPageBreak/>
        <w:t>treated differently</w:t>
      </w:r>
      <w:r w:rsidR="002D513E">
        <w:rPr>
          <w:color w:val="auto"/>
        </w:rPr>
        <w:t>,</w:t>
      </w:r>
      <w:r>
        <w:rPr>
          <w:color w:val="auto"/>
        </w:rPr>
        <w:t xml:space="preserve"> besides being classified into the Large C&amp;I class instead of the </w:t>
      </w:r>
      <w:r w:rsidR="00BB51BC">
        <w:rPr>
          <w:color w:val="auto"/>
        </w:rPr>
        <w:t xml:space="preserve">legacy combined </w:t>
      </w:r>
      <w:r>
        <w:rPr>
          <w:color w:val="auto"/>
        </w:rPr>
        <w:t>M/L C&amp;I class.</w:t>
      </w:r>
    </w:p>
    <w:p w14:paraId="113E386B" w14:textId="6DF1804F" w:rsidR="00FD73AA" w:rsidRDefault="00485F17" w:rsidP="00CB3AB6">
      <w:pPr>
        <w:pStyle w:val="BodyText2"/>
        <w:rPr>
          <w:color w:val="auto"/>
        </w:rPr>
      </w:pPr>
      <w:r>
        <w:rPr>
          <w:color w:val="auto"/>
        </w:rPr>
        <w:tab/>
      </w:r>
      <w:r>
        <w:rPr>
          <w:color w:val="auto"/>
        </w:rPr>
        <w:tab/>
      </w:r>
      <w:r w:rsidR="00286392">
        <w:rPr>
          <w:color w:val="auto"/>
        </w:rPr>
        <w:t>Table 1 below displays the rate schedule class designation before and after the medium and large split.</w:t>
      </w:r>
      <w:r w:rsidR="00C76257">
        <w:rPr>
          <w:color w:val="auto"/>
        </w:rPr>
        <w:t xml:space="preserve"> </w:t>
      </w:r>
    </w:p>
    <w:tbl>
      <w:tblPr>
        <w:tblStyle w:val="TableGrid"/>
        <w:tblW w:w="0" w:type="auto"/>
        <w:tblInd w:w="720" w:type="dxa"/>
        <w:tblLook w:val="04A0" w:firstRow="1" w:lastRow="0" w:firstColumn="1" w:lastColumn="0" w:noHBand="0" w:noVBand="1"/>
      </w:tblPr>
      <w:tblGrid>
        <w:gridCol w:w="2062"/>
        <w:gridCol w:w="2064"/>
        <w:gridCol w:w="2067"/>
        <w:gridCol w:w="2417"/>
      </w:tblGrid>
      <w:tr w:rsidR="00564291" w14:paraId="144B8535" w14:textId="77777777" w:rsidTr="00564291">
        <w:tc>
          <w:tcPr>
            <w:tcW w:w="8610" w:type="dxa"/>
            <w:gridSpan w:val="4"/>
            <w:tcBorders>
              <w:top w:val="nil"/>
              <w:left w:val="nil"/>
              <w:right w:val="nil"/>
            </w:tcBorders>
          </w:tcPr>
          <w:p w14:paraId="7A41A6E0" w14:textId="013DCF8F" w:rsidR="00564291" w:rsidRDefault="00564291" w:rsidP="00CB3AB6">
            <w:pPr>
              <w:pStyle w:val="BodyText2"/>
              <w:spacing w:line="240" w:lineRule="auto"/>
              <w:ind w:left="0" w:firstLine="0"/>
              <w:jc w:val="center"/>
              <w:rPr>
                <w:b/>
                <w:bCs/>
                <w:color w:val="auto"/>
                <w:sz w:val="28"/>
                <w:szCs w:val="28"/>
              </w:rPr>
            </w:pPr>
            <w:r w:rsidRPr="00564291">
              <w:rPr>
                <w:b/>
                <w:bCs/>
                <w:color w:val="auto"/>
                <w:sz w:val="28"/>
                <w:szCs w:val="28"/>
              </w:rPr>
              <w:t>Table 1</w:t>
            </w:r>
            <w:r w:rsidR="00D32C52">
              <w:rPr>
                <w:rStyle w:val="FootnoteReference"/>
                <w:b/>
                <w:bCs/>
                <w:color w:val="auto"/>
                <w:sz w:val="28"/>
                <w:szCs w:val="28"/>
              </w:rPr>
              <w:footnoteReference w:id="3"/>
            </w:r>
          </w:p>
          <w:p w14:paraId="3DB2ED6F" w14:textId="5E1DDC96" w:rsidR="00564291" w:rsidRPr="00564291" w:rsidRDefault="00564291" w:rsidP="00CB3AB6">
            <w:pPr>
              <w:pStyle w:val="BodyText2"/>
              <w:spacing w:line="240" w:lineRule="auto"/>
              <w:ind w:left="0" w:firstLine="0"/>
              <w:jc w:val="center"/>
              <w:rPr>
                <w:b/>
                <w:bCs/>
                <w:color w:val="FFFFFF" w:themeColor="background1"/>
              </w:rPr>
            </w:pPr>
          </w:p>
        </w:tc>
      </w:tr>
      <w:tr w:rsidR="00286392" w14:paraId="00FF984B" w14:textId="77777777" w:rsidTr="00564291">
        <w:tc>
          <w:tcPr>
            <w:tcW w:w="4126" w:type="dxa"/>
            <w:gridSpan w:val="2"/>
            <w:tcBorders>
              <w:top w:val="single" w:sz="12" w:space="0" w:color="auto"/>
              <w:left w:val="single" w:sz="12" w:space="0" w:color="auto"/>
              <w:right w:val="single" w:sz="12" w:space="0" w:color="auto"/>
            </w:tcBorders>
            <w:shd w:val="clear" w:color="auto" w:fill="005EA4"/>
          </w:tcPr>
          <w:p w14:paraId="2EDA3CCD" w14:textId="0D88E42A" w:rsidR="00286392" w:rsidRPr="00564291" w:rsidRDefault="00286392" w:rsidP="00CB3AB6">
            <w:pPr>
              <w:pStyle w:val="BodyText2"/>
              <w:spacing w:line="240" w:lineRule="auto"/>
              <w:ind w:left="0" w:firstLine="0"/>
              <w:jc w:val="center"/>
              <w:rPr>
                <w:b/>
                <w:bCs/>
                <w:color w:val="FFFFFF" w:themeColor="background1"/>
              </w:rPr>
            </w:pPr>
            <w:r w:rsidRPr="00564291">
              <w:rPr>
                <w:b/>
                <w:bCs/>
                <w:color w:val="FFFFFF" w:themeColor="background1"/>
              </w:rPr>
              <w:t>Current</w:t>
            </w:r>
          </w:p>
        </w:tc>
        <w:tc>
          <w:tcPr>
            <w:tcW w:w="4484" w:type="dxa"/>
            <w:gridSpan w:val="2"/>
            <w:tcBorders>
              <w:top w:val="single" w:sz="12" w:space="0" w:color="auto"/>
              <w:left w:val="single" w:sz="12" w:space="0" w:color="auto"/>
              <w:right w:val="single" w:sz="12" w:space="0" w:color="auto"/>
            </w:tcBorders>
            <w:shd w:val="clear" w:color="auto" w:fill="005EA4"/>
          </w:tcPr>
          <w:p w14:paraId="1AB731D6" w14:textId="405FF368" w:rsidR="00286392" w:rsidRPr="00564291" w:rsidRDefault="00286392" w:rsidP="00CB3AB6">
            <w:pPr>
              <w:pStyle w:val="BodyText2"/>
              <w:spacing w:line="240" w:lineRule="auto"/>
              <w:ind w:left="0" w:firstLine="0"/>
              <w:jc w:val="center"/>
              <w:rPr>
                <w:b/>
                <w:bCs/>
                <w:color w:val="FFFFFF" w:themeColor="background1"/>
              </w:rPr>
            </w:pPr>
            <w:r w:rsidRPr="00564291">
              <w:rPr>
                <w:b/>
                <w:bCs/>
                <w:color w:val="FFFFFF" w:themeColor="background1"/>
              </w:rPr>
              <w:t>Proposed</w:t>
            </w:r>
          </w:p>
        </w:tc>
      </w:tr>
      <w:tr w:rsidR="00286392" w14:paraId="63D7E78A" w14:textId="77777777" w:rsidTr="00564291">
        <w:tc>
          <w:tcPr>
            <w:tcW w:w="2062" w:type="dxa"/>
            <w:tcBorders>
              <w:left w:val="single" w:sz="12" w:space="0" w:color="auto"/>
            </w:tcBorders>
          </w:tcPr>
          <w:p w14:paraId="6882158A" w14:textId="0D2847DD" w:rsidR="00286392" w:rsidRPr="00564291" w:rsidRDefault="00286392" w:rsidP="00CB3AB6">
            <w:pPr>
              <w:pStyle w:val="BodyText2"/>
              <w:spacing w:line="240" w:lineRule="auto"/>
              <w:ind w:left="0" w:firstLine="0"/>
              <w:rPr>
                <w:color w:val="auto"/>
              </w:rPr>
            </w:pPr>
            <w:r w:rsidRPr="00564291">
              <w:rPr>
                <w:color w:val="auto"/>
              </w:rPr>
              <w:t>Small Commercial</w:t>
            </w:r>
          </w:p>
        </w:tc>
        <w:tc>
          <w:tcPr>
            <w:tcW w:w="2064" w:type="dxa"/>
            <w:tcBorders>
              <w:right w:val="single" w:sz="12" w:space="0" w:color="auto"/>
            </w:tcBorders>
          </w:tcPr>
          <w:p w14:paraId="618133FC" w14:textId="48C260ED" w:rsidR="00286392" w:rsidRPr="00564291" w:rsidRDefault="00286392" w:rsidP="00CB3AB6">
            <w:pPr>
              <w:pStyle w:val="BodyText2"/>
              <w:spacing w:line="240" w:lineRule="auto"/>
              <w:ind w:left="0" w:firstLine="0"/>
              <w:rPr>
                <w:color w:val="auto"/>
              </w:rPr>
            </w:pPr>
            <w:r w:rsidRPr="00564291">
              <w:rPr>
                <w:color w:val="auto"/>
              </w:rPr>
              <w:t>TOU-M</w:t>
            </w:r>
          </w:p>
        </w:tc>
        <w:tc>
          <w:tcPr>
            <w:tcW w:w="2067" w:type="dxa"/>
            <w:tcBorders>
              <w:left w:val="single" w:sz="12" w:space="0" w:color="auto"/>
            </w:tcBorders>
          </w:tcPr>
          <w:p w14:paraId="34B44295" w14:textId="778A79B5" w:rsidR="00286392" w:rsidRPr="00564291" w:rsidRDefault="00286392" w:rsidP="00CB3AB6">
            <w:pPr>
              <w:pStyle w:val="BodyText2"/>
              <w:spacing w:line="240" w:lineRule="auto"/>
              <w:ind w:left="0" w:firstLine="0"/>
              <w:rPr>
                <w:color w:val="auto"/>
              </w:rPr>
            </w:pPr>
            <w:r w:rsidRPr="00564291">
              <w:rPr>
                <w:color w:val="auto"/>
              </w:rPr>
              <w:t>Small Commercial</w:t>
            </w:r>
          </w:p>
        </w:tc>
        <w:tc>
          <w:tcPr>
            <w:tcW w:w="2417" w:type="dxa"/>
            <w:tcBorders>
              <w:right w:val="single" w:sz="12" w:space="0" w:color="auto"/>
            </w:tcBorders>
          </w:tcPr>
          <w:p w14:paraId="026B2786" w14:textId="18E29E94" w:rsidR="00286392" w:rsidRPr="00564291" w:rsidRDefault="00286392" w:rsidP="00CB3AB6">
            <w:pPr>
              <w:pStyle w:val="BodyText2"/>
              <w:spacing w:line="240" w:lineRule="auto"/>
              <w:ind w:left="0" w:firstLine="0"/>
              <w:rPr>
                <w:color w:val="auto"/>
              </w:rPr>
            </w:pPr>
            <w:r w:rsidRPr="00564291">
              <w:rPr>
                <w:color w:val="auto"/>
              </w:rPr>
              <w:t>N/A</w:t>
            </w:r>
          </w:p>
        </w:tc>
      </w:tr>
      <w:tr w:rsidR="00286392" w14:paraId="5CE986AD" w14:textId="77777777" w:rsidTr="00764D2C">
        <w:tc>
          <w:tcPr>
            <w:tcW w:w="4126" w:type="dxa"/>
            <w:gridSpan w:val="2"/>
            <w:tcBorders>
              <w:left w:val="single" w:sz="12" w:space="0" w:color="auto"/>
              <w:right w:val="single" w:sz="12" w:space="0" w:color="auto"/>
            </w:tcBorders>
            <w:vAlign w:val="bottom"/>
          </w:tcPr>
          <w:p w14:paraId="171CF93C" w14:textId="32E7774B" w:rsidR="00286392" w:rsidRPr="00564291" w:rsidRDefault="00286392" w:rsidP="00CB3AB6">
            <w:pPr>
              <w:pStyle w:val="BodyText2"/>
              <w:spacing w:line="240" w:lineRule="auto"/>
              <w:ind w:left="0" w:firstLine="0"/>
              <w:jc w:val="center"/>
              <w:rPr>
                <w:color w:val="auto"/>
              </w:rPr>
            </w:pPr>
            <w:r w:rsidRPr="00564291">
              <w:rPr>
                <w:color w:val="auto"/>
              </w:rPr>
              <w:t>N/A</w:t>
            </w:r>
          </w:p>
        </w:tc>
        <w:tc>
          <w:tcPr>
            <w:tcW w:w="2067" w:type="dxa"/>
            <w:tcBorders>
              <w:left w:val="single" w:sz="12" w:space="0" w:color="auto"/>
            </w:tcBorders>
          </w:tcPr>
          <w:p w14:paraId="4D922453" w14:textId="77B63947" w:rsidR="00286392" w:rsidRPr="00564291" w:rsidRDefault="00286392" w:rsidP="00CB3AB6">
            <w:pPr>
              <w:pStyle w:val="BodyText2"/>
              <w:spacing w:line="240" w:lineRule="auto"/>
              <w:ind w:left="0" w:firstLine="0"/>
              <w:rPr>
                <w:color w:val="auto"/>
              </w:rPr>
            </w:pPr>
            <w:r w:rsidRPr="00564291">
              <w:rPr>
                <w:color w:val="auto"/>
              </w:rPr>
              <w:t>Medium Commercial</w:t>
            </w:r>
          </w:p>
        </w:tc>
        <w:tc>
          <w:tcPr>
            <w:tcW w:w="2417" w:type="dxa"/>
            <w:tcBorders>
              <w:right w:val="single" w:sz="12" w:space="0" w:color="auto"/>
            </w:tcBorders>
          </w:tcPr>
          <w:p w14:paraId="7A886076" w14:textId="50E2A388" w:rsidR="00286392" w:rsidRPr="00B87B24" w:rsidRDefault="00286392" w:rsidP="00CB3AB6">
            <w:pPr>
              <w:pStyle w:val="BodyText2"/>
              <w:spacing w:line="240" w:lineRule="auto"/>
              <w:ind w:left="0" w:firstLine="0"/>
              <w:rPr>
                <w:color w:val="auto"/>
                <w:lang w:val="pt-BR"/>
              </w:rPr>
            </w:pPr>
            <w:r w:rsidRPr="00B87B24">
              <w:rPr>
                <w:color w:val="auto"/>
                <w:lang w:val="pt-BR"/>
              </w:rPr>
              <w:t>TOU-M, OL-TOU, EV-HP, AL-TOU-M, DG-R-M</w:t>
            </w:r>
          </w:p>
        </w:tc>
      </w:tr>
      <w:tr w:rsidR="00286392" w14:paraId="10C63285" w14:textId="77777777" w:rsidTr="00564291">
        <w:tc>
          <w:tcPr>
            <w:tcW w:w="2062" w:type="dxa"/>
            <w:tcBorders>
              <w:left w:val="single" w:sz="12" w:space="0" w:color="auto"/>
              <w:bottom w:val="single" w:sz="12" w:space="0" w:color="auto"/>
            </w:tcBorders>
          </w:tcPr>
          <w:p w14:paraId="05E085C6" w14:textId="09223814" w:rsidR="00286392" w:rsidRPr="00564291" w:rsidRDefault="00286392" w:rsidP="00CB3AB6">
            <w:pPr>
              <w:pStyle w:val="BodyText2"/>
              <w:spacing w:line="240" w:lineRule="auto"/>
              <w:ind w:left="0" w:firstLine="0"/>
              <w:rPr>
                <w:color w:val="auto"/>
              </w:rPr>
            </w:pPr>
            <w:r w:rsidRPr="00564291">
              <w:rPr>
                <w:color w:val="auto"/>
              </w:rPr>
              <w:t>M</w:t>
            </w:r>
            <w:r w:rsidR="00E3112E">
              <w:rPr>
                <w:color w:val="auto"/>
              </w:rPr>
              <w:t xml:space="preserve">edium </w:t>
            </w:r>
            <w:r w:rsidR="00FD73AA">
              <w:rPr>
                <w:color w:val="auto"/>
              </w:rPr>
              <w:t>&amp;</w:t>
            </w:r>
            <w:r w:rsidR="00E3112E">
              <w:rPr>
                <w:color w:val="auto"/>
              </w:rPr>
              <w:t xml:space="preserve"> </w:t>
            </w:r>
            <w:r w:rsidRPr="00564291">
              <w:rPr>
                <w:color w:val="auto"/>
              </w:rPr>
              <w:t>L</w:t>
            </w:r>
            <w:r w:rsidR="00E3112E">
              <w:rPr>
                <w:color w:val="auto"/>
              </w:rPr>
              <w:t>arge</w:t>
            </w:r>
            <w:r w:rsidRPr="00564291">
              <w:rPr>
                <w:color w:val="auto"/>
              </w:rPr>
              <w:t xml:space="preserve"> C</w:t>
            </w:r>
            <w:r w:rsidR="00FD73AA">
              <w:rPr>
                <w:color w:val="auto"/>
              </w:rPr>
              <w:t>/</w:t>
            </w:r>
            <w:r w:rsidRPr="00564291">
              <w:rPr>
                <w:color w:val="auto"/>
              </w:rPr>
              <w:t>I</w:t>
            </w:r>
          </w:p>
        </w:tc>
        <w:tc>
          <w:tcPr>
            <w:tcW w:w="2064" w:type="dxa"/>
            <w:tcBorders>
              <w:bottom w:val="single" w:sz="12" w:space="0" w:color="auto"/>
              <w:right w:val="single" w:sz="12" w:space="0" w:color="auto"/>
            </w:tcBorders>
          </w:tcPr>
          <w:p w14:paraId="1178B820" w14:textId="480F414A" w:rsidR="00286392" w:rsidRPr="00B87B24" w:rsidRDefault="00286392" w:rsidP="00CB3AB6">
            <w:pPr>
              <w:pStyle w:val="BodyText2"/>
              <w:spacing w:line="240" w:lineRule="auto"/>
              <w:ind w:left="0" w:firstLine="0"/>
              <w:rPr>
                <w:color w:val="auto"/>
                <w:lang w:val="pt-BR"/>
              </w:rPr>
            </w:pPr>
            <w:r w:rsidRPr="00B87B24">
              <w:rPr>
                <w:color w:val="auto"/>
                <w:lang w:val="pt-BR"/>
              </w:rPr>
              <w:t>AL-TOU, DG-R, OL-TOU, EV-HP</w:t>
            </w:r>
          </w:p>
        </w:tc>
        <w:tc>
          <w:tcPr>
            <w:tcW w:w="2067" w:type="dxa"/>
            <w:tcBorders>
              <w:left w:val="single" w:sz="12" w:space="0" w:color="auto"/>
              <w:bottom w:val="single" w:sz="12" w:space="0" w:color="auto"/>
            </w:tcBorders>
          </w:tcPr>
          <w:p w14:paraId="5F3C6A22" w14:textId="5B8AC3C1" w:rsidR="00286392" w:rsidRPr="00564291" w:rsidRDefault="00286392" w:rsidP="00CB3AB6">
            <w:pPr>
              <w:pStyle w:val="BodyText2"/>
              <w:spacing w:line="240" w:lineRule="auto"/>
              <w:ind w:left="0" w:firstLine="0"/>
              <w:rPr>
                <w:color w:val="auto"/>
              </w:rPr>
            </w:pPr>
            <w:r w:rsidRPr="00564291">
              <w:rPr>
                <w:color w:val="auto"/>
              </w:rPr>
              <w:t>Large C&amp;I</w:t>
            </w:r>
          </w:p>
        </w:tc>
        <w:tc>
          <w:tcPr>
            <w:tcW w:w="2417" w:type="dxa"/>
            <w:tcBorders>
              <w:bottom w:val="single" w:sz="12" w:space="0" w:color="auto"/>
              <w:right w:val="single" w:sz="12" w:space="0" w:color="auto"/>
            </w:tcBorders>
          </w:tcPr>
          <w:p w14:paraId="2BC07145" w14:textId="1285B71A" w:rsidR="00286392" w:rsidRPr="00B87B24" w:rsidRDefault="00286392" w:rsidP="00CB3AB6">
            <w:pPr>
              <w:pStyle w:val="BodyText2"/>
              <w:spacing w:line="240" w:lineRule="auto"/>
              <w:ind w:left="0" w:firstLine="0"/>
              <w:rPr>
                <w:color w:val="auto"/>
                <w:lang w:val="pt-BR"/>
              </w:rPr>
            </w:pPr>
            <w:r w:rsidRPr="00B87B24">
              <w:rPr>
                <w:color w:val="auto"/>
                <w:lang w:val="pt-BR"/>
              </w:rPr>
              <w:t>AL-TOU</w:t>
            </w:r>
            <w:r w:rsidR="004A0E59" w:rsidRPr="00B87B24">
              <w:rPr>
                <w:color w:val="auto"/>
                <w:lang w:val="pt-BR"/>
              </w:rPr>
              <w:t>-L</w:t>
            </w:r>
            <w:r w:rsidRPr="00B87B24">
              <w:rPr>
                <w:color w:val="auto"/>
                <w:lang w:val="pt-BR"/>
              </w:rPr>
              <w:t>, DG-R</w:t>
            </w:r>
            <w:r w:rsidR="004A0E59" w:rsidRPr="00B87B24">
              <w:rPr>
                <w:color w:val="auto"/>
                <w:lang w:val="pt-BR"/>
              </w:rPr>
              <w:t>-L</w:t>
            </w:r>
            <w:r w:rsidR="00334AE5" w:rsidRPr="00B87B24">
              <w:rPr>
                <w:color w:val="auto"/>
                <w:lang w:val="pt-BR"/>
              </w:rPr>
              <w:t xml:space="preserve">   </w:t>
            </w:r>
          </w:p>
        </w:tc>
      </w:tr>
    </w:tbl>
    <w:p w14:paraId="6BA3CE32" w14:textId="77777777" w:rsidR="00286392" w:rsidRPr="00B87B24" w:rsidRDefault="00286392" w:rsidP="00CB3AB6">
      <w:pPr>
        <w:pStyle w:val="BodyText2"/>
        <w:rPr>
          <w:color w:val="EE0000"/>
          <w:lang w:val="pt-BR"/>
        </w:rPr>
      </w:pPr>
    </w:p>
    <w:p w14:paraId="7A2D9F65" w14:textId="6DD985A5" w:rsidR="00AE505D" w:rsidRDefault="00AE505D" w:rsidP="00CB3AB6">
      <w:pPr>
        <w:pStyle w:val="BodyText3"/>
        <w:ind w:left="0" w:firstLine="0"/>
        <w:rPr>
          <w:b/>
          <w:bCs/>
          <w:color w:val="auto"/>
        </w:rPr>
      </w:pPr>
      <w:r>
        <w:rPr>
          <w:b/>
          <w:bCs/>
          <w:color w:val="auto"/>
        </w:rPr>
        <w:t xml:space="preserve">Q9. </w:t>
      </w:r>
      <w:r>
        <w:rPr>
          <w:b/>
          <w:bCs/>
          <w:color w:val="auto"/>
        </w:rPr>
        <w:tab/>
        <w:t>Please describe, if applicable, any changes to current rate schedule designs.</w:t>
      </w:r>
    </w:p>
    <w:p w14:paraId="367D3642" w14:textId="18FA2716" w:rsidR="00D55E7C" w:rsidRDefault="00AE505D" w:rsidP="00CB3AB6">
      <w:pPr>
        <w:pStyle w:val="BodyText3"/>
        <w:ind w:hanging="720"/>
        <w:rPr>
          <w:color w:val="auto"/>
        </w:rPr>
      </w:pPr>
      <w:r w:rsidRPr="00AE505D">
        <w:rPr>
          <w:color w:val="auto"/>
        </w:rPr>
        <w:t>A9.</w:t>
      </w:r>
      <w:r>
        <w:rPr>
          <w:color w:val="auto"/>
        </w:rPr>
        <w:tab/>
      </w:r>
      <w:r w:rsidR="00322DAD">
        <w:rPr>
          <w:color w:val="auto"/>
        </w:rPr>
        <w:t>Consistent with the approved CPUC-jurisdictional distribution design, to</w:t>
      </w:r>
      <w:r w:rsidR="007D41E3">
        <w:rPr>
          <w:color w:val="auto"/>
        </w:rPr>
        <w:t xml:space="preserve"> accommodate the </w:t>
      </w:r>
      <w:r w:rsidR="00A20278">
        <w:rPr>
          <w:color w:val="auto"/>
        </w:rPr>
        <w:t>mixed</w:t>
      </w:r>
      <w:r w:rsidR="009F3A17">
        <w:rPr>
          <w:color w:val="auto"/>
        </w:rPr>
        <w:t xml:space="preserve"> nature </w:t>
      </w:r>
      <w:r w:rsidR="007D41E3">
        <w:rPr>
          <w:color w:val="auto"/>
        </w:rPr>
        <w:t xml:space="preserve">of customers in the Medium Commercial class, </w:t>
      </w:r>
      <w:r>
        <w:rPr>
          <w:color w:val="auto"/>
        </w:rPr>
        <w:t>SDG&amp;E is proposing</w:t>
      </w:r>
      <w:r w:rsidR="005231D3">
        <w:rPr>
          <w:color w:val="auto"/>
        </w:rPr>
        <w:t xml:space="preserve"> </w:t>
      </w:r>
      <w:r w:rsidR="0064718D">
        <w:rPr>
          <w:color w:val="auto"/>
        </w:rPr>
        <w:t xml:space="preserve">a </w:t>
      </w:r>
      <w:r w:rsidR="0051498A">
        <w:rPr>
          <w:color w:val="auto"/>
        </w:rPr>
        <w:t xml:space="preserve">rate design </w:t>
      </w:r>
      <w:r w:rsidR="00703A2C">
        <w:rPr>
          <w:color w:val="auto"/>
        </w:rPr>
        <w:t>that recover</w:t>
      </w:r>
      <w:r w:rsidR="0064718D">
        <w:rPr>
          <w:color w:val="auto"/>
        </w:rPr>
        <w:t>s</w:t>
      </w:r>
      <w:r w:rsidR="00703A2C">
        <w:rPr>
          <w:color w:val="auto"/>
        </w:rPr>
        <w:t xml:space="preserve"> costs using a blended volumetric and demand design</w:t>
      </w:r>
      <w:r w:rsidR="00162E63">
        <w:rPr>
          <w:color w:val="auto"/>
        </w:rPr>
        <w:t xml:space="preserve">, </w:t>
      </w:r>
      <w:r w:rsidR="00322DAD">
        <w:rPr>
          <w:color w:val="auto"/>
        </w:rPr>
        <w:t>along with</w:t>
      </w:r>
      <w:r w:rsidR="004A2D1F">
        <w:rPr>
          <w:color w:val="auto"/>
        </w:rPr>
        <w:t xml:space="preserve"> </w:t>
      </w:r>
      <w:r w:rsidR="006A5199">
        <w:rPr>
          <w:color w:val="auto"/>
        </w:rPr>
        <w:t xml:space="preserve">a </w:t>
      </w:r>
      <w:r w:rsidR="003F45F7">
        <w:rPr>
          <w:color w:val="auto"/>
        </w:rPr>
        <w:t>completely volumetric rate for</w:t>
      </w:r>
      <w:r w:rsidR="006A5199">
        <w:rPr>
          <w:color w:val="auto"/>
        </w:rPr>
        <w:t xml:space="preserve"> </w:t>
      </w:r>
      <w:r w:rsidR="00CA3324">
        <w:rPr>
          <w:color w:val="auto"/>
        </w:rPr>
        <w:t>specific schedules</w:t>
      </w:r>
      <w:r w:rsidR="00F2021B">
        <w:rPr>
          <w:color w:val="auto"/>
        </w:rPr>
        <w:t xml:space="preserve">. </w:t>
      </w:r>
    </w:p>
    <w:p w14:paraId="3B2BA761" w14:textId="2B415359" w:rsidR="00A50854" w:rsidRDefault="00D55E7C" w:rsidP="00CB3AB6">
      <w:pPr>
        <w:pStyle w:val="BodyText3"/>
        <w:ind w:hanging="720"/>
        <w:rPr>
          <w:color w:val="auto"/>
        </w:rPr>
      </w:pPr>
      <w:r>
        <w:rPr>
          <w:color w:val="auto"/>
        </w:rPr>
        <w:tab/>
      </w:r>
      <w:r>
        <w:rPr>
          <w:color w:val="auto"/>
        </w:rPr>
        <w:tab/>
      </w:r>
      <w:r w:rsidR="00F2021B">
        <w:rPr>
          <w:color w:val="auto"/>
        </w:rPr>
        <w:t xml:space="preserve">The </w:t>
      </w:r>
      <w:r w:rsidR="005E10DD">
        <w:rPr>
          <w:color w:val="auto"/>
        </w:rPr>
        <w:t xml:space="preserve">default </w:t>
      </w:r>
      <w:r w:rsidR="004A2D1F">
        <w:rPr>
          <w:color w:val="auto"/>
        </w:rPr>
        <w:t xml:space="preserve">schedule for the </w:t>
      </w:r>
      <w:r w:rsidR="005548F9">
        <w:rPr>
          <w:color w:val="auto"/>
        </w:rPr>
        <w:t>combined M/L C&amp;I</w:t>
      </w:r>
      <w:r w:rsidR="00630AA9">
        <w:rPr>
          <w:color w:val="auto"/>
        </w:rPr>
        <w:t xml:space="preserve"> class</w:t>
      </w:r>
      <w:r w:rsidR="00A92710">
        <w:rPr>
          <w:color w:val="auto"/>
        </w:rPr>
        <w:t xml:space="preserve">, previously AL-TOU, </w:t>
      </w:r>
      <w:r w:rsidR="00F2021B">
        <w:rPr>
          <w:color w:val="auto"/>
        </w:rPr>
        <w:t>w</w:t>
      </w:r>
      <w:r w:rsidR="004D54A3">
        <w:rPr>
          <w:color w:val="auto"/>
        </w:rPr>
        <w:t>as</w:t>
      </w:r>
      <w:r w:rsidR="00FE2A6C">
        <w:rPr>
          <w:color w:val="auto"/>
        </w:rPr>
        <w:t xml:space="preserve"> designed </w:t>
      </w:r>
      <w:r w:rsidR="00CF30DA">
        <w:rPr>
          <w:color w:val="auto"/>
        </w:rPr>
        <w:t>to collect</w:t>
      </w:r>
      <w:r w:rsidR="00FE2A6C">
        <w:rPr>
          <w:color w:val="auto"/>
        </w:rPr>
        <w:t xml:space="preserve"> 100% </w:t>
      </w:r>
      <w:r w:rsidR="00CF30DA">
        <w:rPr>
          <w:color w:val="auto"/>
        </w:rPr>
        <w:t xml:space="preserve">of the revenue requirement through </w:t>
      </w:r>
      <w:r w:rsidR="00FE2A6C">
        <w:rPr>
          <w:color w:val="auto"/>
        </w:rPr>
        <w:t>demand</w:t>
      </w:r>
      <w:r w:rsidR="0077387F">
        <w:rPr>
          <w:color w:val="auto"/>
        </w:rPr>
        <w:t>-</w:t>
      </w:r>
      <w:r w:rsidR="00FE2A6C">
        <w:rPr>
          <w:color w:val="auto"/>
        </w:rPr>
        <w:t>based rates</w:t>
      </w:r>
      <w:r w:rsidR="00322DAD">
        <w:rPr>
          <w:color w:val="auto"/>
        </w:rPr>
        <w:t>.</w:t>
      </w:r>
      <w:r w:rsidR="00FE2A6C">
        <w:rPr>
          <w:color w:val="auto"/>
        </w:rPr>
        <w:t xml:space="preserve"> </w:t>
      </w:r>
      <w:r w:rsidR="00A50854">
        <w:rPr>
          <w:color w:val="auto"/>
        </w:rPr>
        <w:t xml:space="preserve">This remains unchanged for the new Large C&amp;I customer class default rate, AL-TOU-L. </w:t>
      </w:r>
    </w:p>
    <w:p w14:paraId="11636C94" w14:textId="1CD627B9" w:rsidR="00D74CEC" w:rsidRPr="00AE505D" w:rsidRDefault="00A50854" w:rsidP="00CB3AB6">
      <w:pPr>
        <w:pStyle w:val="BodyText3"/>
        <w:ind w:hanging="720"/>
        <w:rPr>
          <w:color w:val="auto"/>
        </w:rPr>
      </w:pPr>
      <w:r>
        <w:rPr>
          <w:color w:val="auto"/>
        </w:rPr>
        <w:tab/>
      </w:r>
      <w:r>
        <w:rPr>
          <w:color w:val="auto"/>
        </w:rPr>
        <w:tab/>
      </w:r>
      <w:r w:rsidR="00EF4575">
        <w:rPr>
          <w:color w:val="auto"/>
        </w:rPr>
        <w:t>T</w:t>
      </w:r>
      <w:r w:rsidR="00D44CF2">
        <w:rPr>
          <w:color w:val="auto"/>
        </w:rPr>
        <w:t xml:space="preserve">he default schedule for the newly created </w:t>
      </w:r>
      <w:r w:rsidR="0077387F">
        <w:rPr>
          <w:color w:val="auto"/>
        </w:rPr>
        <w:t>Medium Commercial class, Schedule AL-TOU-M,</w:t>
      </w:r>
      <w:r w:rsidR="00FE2A6C">
        <w:rPr>
          <w:color w:val="auto"/>
        </w:rPr>
        <w:t xml:space="preserve"> </w:t>
      </w:r>
      <w:r w:rsidR="00324722">
        <w:rPr>
          <w:color w:val="auto"/>
        </w:rPr>
        <w:t>has been</w:t>
      </w:r>
      <w:r w:rsidR="00F2021B">
        <w:rPr>
          <w:color w:val="auto"/>
        </w:rPr>
        <w:t xml:space="preserve"> </w:t>
      </w:r>
      <w:r w:rsidR="00FE2A6C">
        <w:rPr>
          <w:color w:val="auto"/>
        </w:rPr>
        <w:t>re</w:t>
      </w:r>
      <w:r w:rsidR="00F2021B">
        <w:rPr>
          <w:color w:val="auto"/>
        </w:rPr>
        <w:t xml:space="preserve">designed </w:t>
      </w:r>
      <w:r w:rsidR="005E10DD">
        <w:rPr>
          <w:color w:val="auto"/>
        </w:rPr>
        <w:t>to recover distribution demand costs</w:t>
      </w:r>
      <w:r w:rsidR="004D54A3">
        <w:rPr>
          <w:color w:val="auto"/>
        </w:rPr>
        <w:t xml:space="preserve"> through a</w:t>
      </w:r>
      <w:r w:rsidR="005E10DD">
        <w:rPr>
          <w:color w:val="auto"/>
        </w:rPr>
        <w:t xml:space="preserve"> split </w:t>
      </w:r>
      <w:r w:rsidR="004D54A3">
        <w:rPr>
          <w:color w:val="auto"/>
        </w:rPr>
        <w:t xml:space="preserve">of </w:t>
      </w:r>
      <w:r w:rsidR="005E10DD">
        <w:rPr>
          <w:color w:val="auto"/>
        </w:rPr>
        <w:t>25% volumetric and 75% demand charges</w:t>
      </w:r>
      <w:r w:rsidR="004D54A3">
        <w:rPr>
          <w:color w:val="auto"/>
        </w:rPr>
        <w:t xml:space="preserve">. </w:t>
      </w:r>
      <w:r w:rsidR="000E45BC">
        <w:rPr>
          <w:color w:val="auto"/>
        </w:rPr>
        <w:t xml:space="preserve">The volumetric </w:t>
      </w:r>
      <w:r w:rsidR="005E5F3D">
        <w:rPr>
          <w:color w:val="auto"/>
        </w:rPr>
        <w:t>charge</w:t>
      </w:r>
      <w:r w:rsidR="00C84BCF">
        <w:rPr>
          <w:color w:val="auto"/>
        </w:rPr>
        <w:t>, which</w:t>
      </w:r>
      <w:r w:rsidR="00EC5B4A">
        <w:rPr>
          <w:color w:val="auto"/>
        </w:rPr>
        <w:t xml:space="preserve"> recovers</w:t>
      </w:r>
      <w:r w:rsidR="00E30661">
        <w:rPr>
          <w:color w:val="auto"/>
        </w:rPr>
        <w:t xml:space="preserve"> 25% </w:t>
      </w:r>
      <w:r w:rsidR="00E30661">
        <w:rPr>
          <w:color w:val="auto"/>
        </w:rPr>
        <w:lastRenderedPageBreak/>
        <w:t>of the revenue</w:t>
      </w:r>
      <w:r w:rsidR="007A3AD0">
        <w:rPr>
          <w:color w:val="auto"/>
        </w:rPr>
        <w:t xml:space="preserve"> requirement,</w:t>
      </w:r>
      <w:r w:rsidR="000E45BC">
        <w:rPr>
          <w:color w:val="auto"/>
        </w:rPr>
        <w:t xml:space="preserve"> </w:t>
      </w:r>
      <w:r w:rsidR="00693DE0">
        <w:rPr>
          <w:color w:val="auto"/>
        </w:rPr>
        <w:t>is</w:t>
      </w:r>
      <w:r w:rsidR="00BC4629">
        <w:rPr>
          <w:color w:val="auto"/>
        </w:rPr>
        <w:t xml:space="preserve"> a flat volumetric rate across all Time-of-Use (TOU) periods.</w:t>
      </w:r>
      <w:r w:rsidR="009E517B">
        <w:rPr>
          <w:color w:val="auto"/>
        </w:rPr>
        <w:t xml:space="preserve"> </w:t>
      </w:r>
      <w:r w:rsidR="00E62BD8">
        <w:rPr>
          <w:color w:val="auto"/>
        </w:rPr>
        <w:t>T</w:t>
      </w:r>
      <w:r w:rsidR="004D54A3">
        <w:rPr>
          <w:color w:val="auto"/>
        </w:rPr>
        <w:t xml:space="preserve">he </w:t>
      </w:r>
      <w:r w:rsidR="00D51E92">
        <w:rPr>
          <w:color w:val="auto"/>
        </w:rPr>
        <w:t xml:space="preserve">remaining </w:t>
      </w:r>
      <w:r w:rsidR="004D54A3">
        <w:rPr>
          <w:color w:val="auto"/>
        </w:rPr>
        <w:t>75%</w:t>
      </w:r>
      <w:r w:rsidR="009710CC">
        <w:rPr>
          <w:color w:val="auto"/>
        </w:rPr>
        <w:t xml:space="preserve"> of </w:t>
      </w:r>
      <w:r w:rsidR="0000332D">
        <w:rPr>
          <w:color w:val="auto"/>
        </w:rPr>
        <w:t xml:space="preserve">the </w:t>
      </w:r>
      <w:r w:rsidR="009710CC">
        <w:rPr>
          <w:color w:val="auto"/>
        </w:rPr>
        <w:t>revenue</w:t>
      </w:r>
      <w:r w:rsidR="0000332D">
        <w:rPr>
          <w:color w:val="auto"/>
        </w:rPr>
        <w:t xml:space="preserve"> requirement</w:t>
      </w:r>
      <w:r w:rsidR="004D54A3">
        <w:rPr>
          <w:color w:val="auto"/>
        </w:rPr>
        <w:t xml:space="preserve"> </w:t>
      </w:r>
      <w:r w:rsidR="00407481">
        <w:rPr>
          <w:color w:val="auto"/>
        </w:rPr>
        <w:t xml:space="preserve">is recovered </w:t>
      </w:r>
      <w:r w:rsidR="005F6AB2">
        <w:rPr>
          <w:color w:val="auto"/>
        </w:rPr>
        <w:t>through</w:t>
      </w:r>
      <w:r w:rsidR="004D54A3">
        <w:rPr>
          <w:color w:val="auto"/>
        </w:rPr>
        <w:t xml:space="preserve"> demand charges</w:t>
      </w:r>
      <w:r w:rsidR="007B712A">
        <w:rPr>
          <w:color w:val="auto"/>
        </w:rPr>
        <w:t xml:space="preserve"> </w:t>
      </w:r>
      <w:r w:rsidR="009A4DFE">
        <w:rPr>
          <w:color w:val="auto"/>
        </w:rPr>
        <w:t xml:space="preserve">that </w:t>
      </w:r>
      <w:r w:rsidR="007B712A">
        <w:rPr>
          <w:color w:val="auto"/>
        </w:rPr>
        <w:t xml:space="preserve">follow </w:t>
      </w:r>
      <w:r w:rsidR="008B6592">
        <w:rPr>
          <w:color w:val="auto"/>
        </w:rPr>
        <w:t xml:space="preserve">a rate design </w:t>
      </w:r>
      <w:r w:rsidR="00693F43">
        <w:rPr>
          <w:color w:val="auto"/>
        </w:rPr>
        <w:t>similar to</w:t>
      </w:r>
      <w:r w:rsidR="000E45BC">
        <w:rPr>
          <w:color w:val="auto"/>
        </w:rPr>
        <w:t xml:space="preserve"> the previously combined Schedule AL-TOU</w:t>
      </w:r>
      <w:r w:rsidR="007B712A">
        <w:rPr>
          <w:color w:val="auto"/>
        </w:rPr>
        <w:t xml:space="preserve"> </w:t>
      </w:r>
      <w:r w:rsidR="00290186">
        <w:rPr>
          <w:color w:val="auto"/>
        </w:rPr>
        <w:t>—</w:t>
      </w:r>
      <w:r w:rsidR="004D54A3">
        <w:rPr>
          <w:color w:val="auto"/>
        </w:rPr>
        <w:t>consist</w:t>
      </w:r>
      <w:r w:rsidR="00290186">
        <w:rPr>
          <w:color w:val="auto"/>
        </w:rPr>
        <w:t>ing</w:t>
      </w:r>
      <w:r w:rsidR="004D54A3">
        <w:rPr>
          <w:color w:val="auto"/>
        </w:rPr>
        <w:t xml:space="preserve"> of both non-coincident peak demand and on-peak demand charges. </w:t>
      </w:r>
      <w:r w:rsidR="00BE1733">
        <w:rPr>
          <w:color w:val="auto"/>
        </w:rPr>
        <w:t xml:space="preserve">Because Schedule DG-R-M </w:t>
      </w:r>
      <w:r w:rsidR="00920F9E">
        <w:rPr>
          <w:color w:val="auto"/>
        </w:rPr>
        <w:t>is also designed with demand</w:t>
      </w:r>
      <w:r w:rsidR="004D54A3">
        <w:rPr>
          <w:color w:val="auto"/>
        </w:rPr>
        <w:t xml:space="preserve"> </w:t>
      </w:r>
      <w:r w:rsidR="00920F9E">
        <w:rPr>
          <w:color w:val="auto"/>
        </w:rPr>
        <w:t>components, SDG&amp;E proposes that Schedule DG-R-M will</w:t>
      </w:r>
      <w:r w:rsidR="00E34DB9">
        <w:rPr>
          <w:color w:val="auto"/>
        </w:rPr>
        <w:t xml:space="preserve"> utilize th</w:t>
      </w:r>
      <w:r w:rsidR="00ED2C83">
        <w:rPr>
          <w:color w:val="auto"/>
        </w:rPr>
        <w:t>e</w:t>
      </w:r>
      <w:r w:rsidR="00E34DB9">
        <w:rPr>
          <w:color w:val="auto"/>
        </w:rPr>
        <w:t xml:space="preserve"> same design </w:t>
      </w:r>
      <w:r w:rsidR="00ED2C83">
        <w:rPr>
          <w:color w:val="auto"/>
        </w:rPr>
        <w:t xml:space="preserve">as AL-TOU-M, </w:t>
      </w:r>
      <w:r w:rsidR="00E34DB9">
        <w:rPr>
          <w:color w:val="auto"/>
        </w:rPr>
        <w:t xml:space="preserve">with 25% of revenues collected through volumetric charges and </w:t>
      </w:r>
      <w:r w:rsidR="00B57E15">
        <w:rPr>
          <w:color w:val="auto"/>
        </w:rPr>
        <w:t xml:space="preserve">the remaining </w:t>
      </w:r>
      <w:r w:rsidR="00E34DB9">
        <w:rPr>
          <w:color w:val="auto"/>
        </w:rPr>
        <w:t>75%</w:t>
      </w:r>
      <w:r w:rsidR="00B57E15">
        <w:rPr>
          <w:color w:val="auto"/>
        </w:rPr>
        <w:t xml:space="preserve"> of revenues collected through demand charges. </w:t>
      </w:r>
      <w:r w:rsidR="004D54A3">
        <w:rPr>
          <w:color w:val="auto"/>
        </w:rPr>
        <w:t>The strategy of utilizing both demand and volumetric charges aim</w:t>
      </w:r>
      <w:r w:rsidR="00AD02CE">
        <w:rPr>
          <w:color w:val="auto"/>
        </w:rPr>
        <w:t>s</w:t>
      </w:r>
      <w:r w:rsidR="004D54A3">
        <w:rPr>
          <w:color w:val="auto"/>
        </w:rPr>
        <w:t xml:space="preserve"> to strike a balance of reducing demand charges relative to AL-TOU</w:t>
      </w:r>
      <w:r w:rsidR="00143E60">
        <w:rPr>
          <w:color w:val="auto"/>
        </w:rPr>
        <w:t>-L</w:t>
      </w:r>
      <w:r w:rsidR="00C0731C">
        <w:rPr>
          <w:color w:val="auto"/>
        </w:rPr>
        <w:t xml:space="preserve"> and maintain</w:t>
      </w:r>
      <w:r w:rsidR="00143E60">
        <w:rPr>
          <w:color w:val="auto"/>
        </w:rPr>
        <w:t>ing</w:t>
      </w:r>
      <w:r w:rsidR="00C0731C">
        <w:rPr>
          <w:color w:val="auto"/>
        </w:rPr>
        <w:t xml:space="preserve"> bill stability as customers transition to the new customer class,</w:t>
      </w:r>
      <w:r w:rsidR="004D54A3">
        <w:rPr>
          <w:color w:val="auto"/>
        </w:rPr>
        <w:t xml:space="preserve"> without</w:t>
      </w:r>
      <w:r w:rsidR="00370095">
        <w:rPr>
          <w:color w:val="auto"/>
        </w:rPr>
        <w:t xml:space="preserve"> causing a</w:t>
      </w:r>
      <w:r w:rsidR="004D54A3">
        <w:rPr>
          <w:color w:val="auto"/>
        </w:rPr>
        <w:t xml:space="preserve"> significant shift in the structure customers </w:t>
      </w:r>
      <w:r w:rsidR="00625838">
        <w:rPr>
          <w:color w:val="auto"/>
        </w:rPr>
        <w:t xml:space="preserve">have </w:t>
      </w:r>
      <w:r w:rsidR="00086959">
        <w:rPr>
          <w:color w:val="auto"/>
        </w:rPr>
        <w:t>be</w:t>
      </w:r>
      <w:r w:rsidR="00625838">
        <w:rPr>
          <w:color w:val="auto"/>
        </w:rPr>
        <w:t xml:space="preserve">come </w:t>
      </w:r>
      <w:r w:rsidR="004D54A3">
        <w:rPr>
          <w:color w:val="auto"/>
        </w:rPr>
        <w:t xml:space="preserve">accustomed. </w:t>
      </w:r>
    </w:p>
    <w:p w14:paraId="053AB0AC" w14:textId="4F453287" w:rsidR="001726F2" w:rsidRDefault="001726F2" w:rsidP="00CB3AB6">
      <w:pPr>
        <w:pStyle w:val="BodyText3"/>
        <w:ind w:hanging="720"/>
        <w:rPr>
          <w:color w:val="auto"/>
        </w:rPr>
      </w:pPr>
      <w:r>
        <w:rPr>
          <w:color w:val="auto"/>
        </w:rPr>
        <w:tab/>
      </w:r>
      <w:r>
        <w:rPr>
          <w:color w:val="auto"/>
        </w:rPr>
        <w:tab/>
      </w:r>
      <w:r w:rsidR="000B06A4">
        <w:rPr>
          <w:color w:val="auto"/>
        </w:rPr>
        <w:t xml:space="preserve">The remaining Medium Commercial class rate schedules, </w:t>
      </w:r>
      <w:r>
        <w:rPr>
          <w:color w:val="auto"/>
        </w:rPr>
        <w:t>Schedules EV-HP, TOU-M, and OL-TOU</w:t>
      </w:r>
      <w:r w:rsidR="000B06A4">
        <w:rPr>
          <w:color w:val="auto"/>
        </w:rPr>
        <w:t>,</w:t>
      </w:r>
      <w:r>
        <w:rPr>
          <w:color w:val="auto"/>
        </w:rPr>
        <w:t xml:space="preserve"> </w:t>
      </w:r>
      <w:r w:rsidR="00D055DA">
        <w:rPr>
          <w:color w:val="auto"/>
        </w:rPr>
        <w:t xml:space="preserve">are </w:t>
      </w:r>
      <w:r>
        <w:rPr>
          <w:color w:val="auto"/>
        </w:rPr>
        <w:t>not</w:t>
      </w:r>
      <w:r w:rsidDel="00D055DA">
        <w:rPr>
          <w:color w:val="auto"/>
        </w:rPr>
        <w:t xml:space="preserve"> </w:t>
      </w:r>
      <w:r w:rsidR="00D055DA">
        <w:rPr>
          <w:color w:val="auto"/>
        </w:rPr>
        <w:t xml:space="preserve">designed with </w:t>
      </w:r>
      <w:r>
        <w:rPr>
          <w:color w:val="auto"/>
        </w:rPr>
        <w:t>demand components</w:t>
      </w:r>
      <w:r w:rsidR="00290186">
        <w:rPr>
          <w:color w:val="auto"/>
        </w:rPr>
        <w:t xml:space="preserve">. They are instead </w:t>
      </w:r>
      <w:r w:rsidDel="00290186">
        <w:rPr>
          <w:color w:val="auto"/>
        </w:rPr>
        <w:t xml:space="preserve"> </w:t>
      </w:r>
      <w:r>
        <w:rPr>
          <w:color w:val="auto"/>
        </w:rPr>
        <w:t xml:space="preserve">strictly billed volumetric transmission rates. To </w:t>
      </w:r>
      <w:r w:rsidR="00455581">
        <w:rPr>
          <w:color w:val="auto"/>
        </w:rPr>
        <w:t>reflect th</w:t>
      </w:r>
      <w:r w:rsidR="00651281">
        <w:rPr>
          <w:color w:val="auto"/>
        </w:rPr>
        <w:t>is design in the</w:t>
      </w:r>
      <w:r w:rsidR="00455581">
        <w:rPr>
          <w:color w:val="auto"/>
        </w:rPr>
        <w:t xml:space="preserve"> new</w:t>
      </w:r>
      <w:r w:rsidDel="00455581">
        <w:rPr>
          <w:color w:val="auto"/>
        </w:rPr>
        <w:t xml:space="preserve"> </w:t>
      </w:r>
      <w:r w:rsidR="009C0E90">
        <w:rPr>
          <w:color w:val="auto"/>
        </w:rPr>
        <w:t>class</w:t>
      </w:r>
      <w:r>
        <w:rPr>
          <w:color w:val="auto"/>
        </w:rPr>
        <w:t xml:space="preserve">, SDG&amp;E proposes a Medium Commercial 100% volumetric transmission rate for these schedules. This is more appropriate because </w:t>
      </w:r>
      <w:r w:rsidR="00BF4609">
        <w:rPr>
          <w:color w:val="auto"/>
        </w:rPr>
        <w:t xml:space="preserve">previously, Schedules TOU-M and OL-TOU </w:t>
      </w:r>
      <w:r w:rsidR="00D763E0">
        <w:rPr>
          <w:color w:val="auto"/>
        </w:rPr>
        <w:t xml:space="preserve">were paying the Small Commercial </w:t>
      </w:r>
      <w:r w:rsidR="00175E1C">
        <w:rPr>
          <w:color w:val="auto"/>
        </w:rPr>
        <w:t xml:space="preserve">100% volumetric </w:t>
      </w:r>
      <w:r w:rsidR="00D763E0">
        <w:rPr>
          <w:color w:val="auto"/>
        </w:rPr>
        <w:t>rate</w:t>
      </w:r>
      <w:r w:rsidR="00B2699D">
        <w:rPr>
          <w:color w:val="auto"/>
        </w:rPr>
        <w:t xml:space="preserve"> and Schedule EV-HP was paying the 100% volumetric</w:t>
      </w:r>
      <w:r w:rsidR="00D763E0">
        <w:rPr>
          <w:color w:val="auto"/>
        </w:rPr>
        <w:t xml:space="preserve"> </w:t>
      </w:r>
      <w:r w:rsidR="00175E1C">
        <w:rPr>
          <w:color w:val="auto"/>
        </w:rPr>
        <w:t>Large C&amp;I rate</w:t>
      </w:r>
      <w:r w:rsidR="00F17001">
        <w:rPr>
          <w:color w:val="auto"/>
        </w:rPr>
        <w:t>.</w:t>
      </w:r>
      <w:r w:rsidR="00754FD3">
        <w:rPr>
          <w:rStyle w:val="FootnoteReference"/>
          <w:color w:val="auto"/>
        </w:rPr>
        <w:footnoteReference w:id="4"/>
      </w:r>
      <w:r w:rsidR="00F17001">
        <w:rPr>
          <w:color w:val="auto"/>
        </w:rPr>
        <w:t xml:space="preserve"> </w:t>
      </w:r>
      <w:r w:rsidR="00725CAD">
        <w:rPr>
          <w:color w:val="auto"/>
        </w:rPr>
        <w:t>SDG&amp;E believes offering</w:t>
      </w:r>
      <w:r w:rsidR="0085249B">
        <w:rPr>
          <w:color w:val="auto"/>
        </w:rPr>
        <w:t xml:space="preserve"> a 100% volumetric Medium Commercial rate </w:t>
      </w:r>
      <w:r w:rsidR="007D1DBB">
        <w:rPr>
          <w:color w:val="auto"/>
        </w:rPr>
        <w:t>allows</w:t>
      </w:r>
      <w:r w:rsidR="00F17001">
        <w:rPr>
          <w:color w:val="auto"/>
        </w:rPr>
        <w:t xml:space="preserve"> customers on these rates </w:t>
      </w:r>
      <w:r w:rsidR="00FE79E7">
        <w:rPr>
          <w:color w:val="auto"/>
        </w:rPr>
        <w:t xml:space="preserve">familiarity with their billing </w:t>
      </w:r>
      <w:r w:rsidR="00DB1B6C">
        <w:rPr>
          <w:color w:val="auto"/>
        </w:rPr>
        <w:t xml:space="preserve">and </w:t>
      </w:r>
      <w:r w:rsidR="007D1DBB">
        <w:rPr>
          <w:color w:val="auto"/>
        </w:rPr>
        <w:t>creates alignment between</w:t>
      </w:r>
      <w:r w:rsidR="00CE5A5D">
        <w:rPr>
          <w:color w:val="auto"/>
        </w:rPr>
        <w:t xml:space="preserve"> </w:t>
      </w:r>
      <w:r w:rsidR="00DB1B6C">
        <w:rPr>
          <w:color w:val="auto"/>
        </w:rPr>
        <w:t>class</w:t>
      </w:r>
      <w:r>
        <w:rPr>
          <w:color w:val="auto"/>
        </w:rPr>
        <w:t xml:space="preserve">-specific allocated revenues and </w:t>
      </w:r>
      <w:r w:rsidR="00694223">
        <w:rPr>
          <w:color w:val="auto"/>
        </w:rPr>
        <w:t xml:space="preserve">the </w:t>
      </w:r>
      <w:r>
        <w:rPr>
          <w:color w:val="auto"/>
        </w:rPr>
        <w:t xml:space="preserve">megawatt hours </w:t>
      </w:r>
      <w:r w:rsidR="007D1DBB">
        <w:rPr>
          <w:color w:val="auto"/>
        </w:rPr>
        <w:t xml:space="preserve">used </w:t>
      </w:r>
      <w:r>
        <w:rPr>
          <w:color w:val="auto"/>
        </w:rPr>
        <w:t xml:space="preserve">to create the volumetric rate.  </w:t>
      </w:r>
    </w:p>
    <w:p w14:paraId="145F36A6" w14:textId="5217454E" w:rsidR="00963F77" w:rsidRDefault="00E06004" w:rsidP="00CB3AB6">
      <w:pPr>
        <w:pStyle w:val="BodyText3"/>
        <w:ind w:hanging="720"/>
        <w:rPr>
          <w:color w:val="auto"/>
        </w:rPr>
      </w:pPr>
      <w:r>
        <w:rPr>
          <w:color w:val="auto"/>
        </w:rPr>
        <w:lastRenderedPageBreak/>
        <w:tab/>
      </w:r>
      <w:r>
        <w:rPr>
          <w:color w:val="auto"/>
        </w:rPr>
        <w:tab/>
        <w:t xml:space="preserve">Table 2 below </w:t>
      </w:r>
      <w:r w:rsidR="00A01400">
        <w:rPr>
          <w:color w:val="auto"/>
        </w:rPr>
        <w:t xml:space="preserve">displays which </w:t>
      </w:r>
      <w:r w:rsidR="00D062C4">
        <w:rPr>
          <w:color w:val="auto"/>
        </w:rPr>
        <w:t xml:space="preserve">Medium Commercial class </w:t>
      </w:r>
      <w:r w:rsidR="00A01400">
        <w:rPr>
          <w:color w:val="auto"/>
        </w:rPr>
        <w:t xml:space="preserve">rate schedules will </w:t>
      </w:r>
      <w:r w:rsidR="00B11BB2">
        <w:rPr>
          <w:color w:val="auto"/>
        </w:rPr>
        <w:t>follow the proposed design changes.</w:t>
      </w:r>
    </w:p>
    <w:p w14:paraId="5558B9A2" w14:textId="77777777" w:rsidR="00D3461D" w:rsidRDefault="00D3461D" w:rsidP="00CB3AB6">
      <w:pPr>
        <w:pStyle w:val="BodyText3"/>
        <w:ind w:hanging="720"/>
        <w:rPr>
          <w:color w:val="auto"/>
        </w:rPr>
      </w:pPr>
    </w:p>
    <w:tbl>
      <w:tblPr>
        <w:tblStyle w:val="TableGrid"/>
        <w:tblW w:w="0" w:type="auto"/>
        <w:tblInd w:w="705" w:type="dxa"/>
        <w:tblLook w:val="04A0" w:firstRow="1" w:lastRow="0" w:firstColumn="1" w:lastColumn="0" w:noHBand="0" w:noVBand="1"/>
      </w:tblPr>
      <w:tblGrid>
        <w:gridCol w:w="1976"/>
        <w:gridCol w:w="3271"/>
        <w:gridCol w:w="3378"/>
      </w:tblGrid>
      <w:tr w:rsidR="00373029" w:rsidRPr="00564291" w14:paraId="456D59D5" w14:textId="77777777" w:rsidTr="00536D8F">
        <w:tc>
          <w:tcPr>
            <w:tcW w:w="8625" w:type="dxa"/>
            <w:gridSpan w:val="3"/>
            <w:tcBorders>
              <w:top w:val="nil"/>
              <w:left w:val="nil"/>
              <w:bottom w:val="nil"/>
              <w:right w:val="nil"/>
            </w:tcBorders>
            <w:vAlign w:val="center"/>
          </w:tcPr>
          <w:p w14:paraId="4E7DA69B" w14:textId="1FE9B089" w:rsidR="00373029" w:rsidRDefault="00963F77" w:rsidP="00373029">
            <w:pPr>
              <w:pStyle w:val="BodyText2"/>
              <w:tabs>
                <w:tab w:val="left" w:pos="825"/>
              </w:tabs>
              <w:spacing w:line="240" w:lineRule="auto"/>
              <w:ind w:left="0" w:firstLine="0"/>
              <w:jc w:val="center"/>
              <w:rPr>
                <w:b/>
                <w:bCs/>
                <w:color w:val="FFFFFF" w:themeColor="background1"/>
              </w:rPr>
            </w:pPr>
            <w:r>
              <w:br w:type="page"/>
            </w:r>
            <w:r w:rsidR="00373029" w:rsidRPr="006479C6">
              <w:rPr>
                <w:b/>
                <w:color w:val="auto"/>
              </w:rPr>
              <w:t>Table 2</w:t>
            </w:r>
          </w:p>
        </w:tc>
      </w:tr>
      <w:tr w:rsidR="00373029" w:rsidRPr="00564291" w14:paraId="26BAB56B" w14:textId="77777777" w:rsidTr="00536D8F">
        <w:tc>
          <w:tcPr>
            <w:tcW w:w="1976" w:type="dxa"/>
            <w:tcBorders>
              <w:top w:val="nil"/>
              <w:left w:val="nil"/>
              <w:bottom w:val="single" w:sz="12" w:space="0" w:color="auto"/>
              <w:right w:val="nil"/>
            </w:tcBorders>
          </w:tcPr>
          <w:p w14:paraId="1EDB7411" w14:textId="77777777" w:rsidR="00373029" w:rsidRDefault="00373029" w:rsidP="00585DD6">
            <w:pPr>
              <w:pStyle w:val="BodyText2"/>
              <w:tabs>
                <w:tab w:val="left" w:pos="825"/>
              </w:tabs>
              <w:spacing w:line="240" w:lineRule="auto"/>
              <w:ind w:left="0" w:firstLine="0"/>
              <w:jc w:val="center"/>
              <w:rPr>
                <w:b/>
                <w:bCs/>
                <w:color w:val="FFFFFF" w:themeColor="background1"/>
              </w:rPr>
            </w:pPr>
          </w:p>
        </w:tc>
        <w:tc>
          <w:tcPr>
            <w:tcW w:w="3271" w:type="dxa"/>
            <w:tcBorders>
              <w:top w:val="nil"/>
              <w:left w:val="nil"/>
              <w:bottom w:val="single" w:sz="12" w:space="0" w:color="auto"/>
              <w:right w:val="nil"/>
            </w:tcBorders>
          </w:tcPr>
          <w:p w14:paraId="640062AD" w14:textId="77777777" w:rsidR="00373029" w:rsidRDefault="00373029" w:rsidP="00585DD6">
            <w:pPr>
              <w:pStyle w:val="BodyText2"/>
              <w:tabs>
                <w:tab w:val="left" w:pos="825"/>
              </w:tabs>
              <w:spacing w:line="240" w:lineRule="auto"/>
              <w:ind w:left="0" w:firstLine="0"/>
              <w:jc w:val="center"/>
              <w:rPr>
                <w:b/>
                <w:bCs/>
                <w:color w:val="FFFFFF" w:themeColor="background1"/>
              </w:rPr>
            </w:pPr>
          </w:p>
        </w:tc>
        <w:tc>
          <w:tcPr>
            <w:tcW w:w="3378" w:type="dxa"/>
            <w:tcBorders>
              <w:top w:val="nil"/>
              <w:left w:val="nil"/>
              <w:bottom w:val="single" w:sz="12" w:space="0" w:color="auto"/>
              <w:right w:val="nil"/>
            </w:tcBorders>
          </w:tcPr>
          <w:p w14:paraId="7DD67105" w14:textId="77777777" w:rsidR="00373029" w:rsidRDefault="00373029" w:rsidP="00585DD6">
            <w:pPr>
              <w:pStyle w:val="BodyText2"/>
              <w:tabs>
                <w:tab w:val="left" w:pos="825"/>
              </w:tabs>
              <w:spacing w:line="240" w:lineRule="auto"/>
              <w:ind w:left="0" w:firstLine="0"/>
              <w:jc w:val="center"/>
              <w:rPr>
                <w:b/>
                <w:bCs/>
                <w:color w:val="FFFFFF" w:themeColor="background1"/>
              </w:rPr>
            </w:pPr>
          </w:p>
        </w:tc>
      </w:tr>
      <w:tr w:rsidR="00514CCC" w:rsidRPr="00564291" w14:paraId="1C98033D" w14:textId="77777777" w:rsidTr="00536D8F">
        <w:tc>
          <w:tcPr>
            <w:tcW w:w="1976" w:type="dxa"/>
            <w:tcBorders>
              <w:top w:val="single" w:sz="12" w:space="0" w:color="auto"/>
              <w:left w:val="single" w:sz="12" w:space="0" w:color="auto"/>
              <w:right w:val="single" w:sz="12" w:space="0" w:color="auto"/>
            </w:tcBorders>
            <w:shd w:val="clear" w:color="auto" w:fill="005EA4"/>
            <w:vAlign w:val="center"/>
          </w:tcPr>
          <w:p w14:paraId="622E60FA" w14:textId="58B91FE7" w:rsidR="00514CCC" w:rsidRPr="00564291" w:rsidRDefault="00112C52" w:rsidP="006479C6">
            <w:pPr>
              <w:pStyle w:val="BodyText2"/>
              <w:tabs>
                <w:tab w:val="left" w:pos="825"/>
              </w:tabs>
              <w:spacing w:line="240" w:lineRule="auto"/>
              <w:ind w:left="0" w:firstLine="0"/>
              <w:jc w:val="center"/>
              <w:rPr>
                <w:b/>
                <w:bCs/>
                <w:color w:val="FFFFFF" w:themeColor="background1"/>
              </w:rPr>
            </w:pPr>
            <w:r>
              <w:rPr>
                <w:b/>
                <w:bCs/>
                <w:color w:val="FFFFFF" w:themeColor="background1"/>
              </w:rPr>
              <w:t xml:space="preserve">Medium Commercial </w:t>
            </w:r>
            <w:r w:rsidR="00514CCC">
              <w:rPr>
                <w:b/>
                <w:bCs/>
                <w:color w:val="FFFFFF" w:themeColor="background1"/>
              </w:rPr>
              <w:t>Rate Schedule</w:t>
            </w:r>
          </w:p>
        </w:tc>
        <w:tc>
          <w:tcPr>
            <w:tcW w:w="3271" w:type="dxa"/>
            <w:tcBorders>
              <w:top w:val="single" w:sz="12" w:space="0" w:color="auto"/>
              <w:left w:val="single" w:sz="12" w:space="0" w:color="auto"/>
              <w:right w:val="single" w:sz="12" w:space="0" w:color="auto"/>
            </w:tcBorders>
            <w:shd w:val="clear" w:color="auto" w:fill="005EA4"/>
            <w:vAlign w:val="center"/>
          </w:tcPr>
          <w:p w14:paraId="54152146" w14:textId="054C2154" w:rsidR="00514CCC" w:rsidRDefault="00514CCC" w:rsidP="006479C6">
            <w:pPr>
              <w:pStyle w:val="BodyText2"/>
              <w:tabs>
                <w:tab w:val="left" w:pos="825"/>
              </w:tabs>
              <w:spacing w:line="240" w:lineRule="auto"/>
              <w:ind w:left="0" w:firstLine="0"/>
              <w:jc w:val="center"/>
              <w:rPr>
                <w:b/>
                <w:bCs/>
                <w:color w:val="FFFFFF" w:themeColor="background1"/>
              </w:rPr>
            </w:pPr>
            <w:r>
              <w:rPr>
                <w:b/>
                <w:bCs/>
                <w:color w:val="FFFFFF" w:themeColor="background1"/>
              </w:rPr>
              <w:t>Previous Rate Design</w:t>
            </w:r>
          </w:p>
        </w:tc>
        <w:tc>
          <w:tcPr>
            <w:tcW w:w="3378" w:type="dxa"/>
            <w:tcBorders>
              <w:top w:val="single" w:sz="12" w:space="0" w:color="auto"/>
              <w:left w:val="single" w:sz="12" w:space="0" w:color="auto"/>
              <w:right w:val="single" w:sz="12" w:space="0" w:color="auto"/>
            </w:tcBorders>
            <w:shd w:val="clear" w:color="auto" w:fill="005EA4"/>
            <w:vAlign w:val="center"/>
          </w:tcPr>
          <w:p w14:paraId="238F8DFD" w14:textId="78BBB4D4" w:rsidR="00514CCC" w:rsidRPr="00564291" w:rsidRDefault="00514CCC" w:rsidP="006479C6">
            <w:pPr>
              <w:pStyle w:val="BodyText2"/>
              <w:tabs>
                <w:tab w:val="left" w:pos="825"/>
              </w:tabs>
              <w:spacing w:line="240" w:lineRule="auto"/>
              <w:ind w:left="0" w:firstLine="0"/>
              <w:jc w:val="center"/>
              <w:rPr>
                <w:b/>
                <w:bCs/>
                <w:color w:val="FFFFFF" w:themeColor="background1"/>
              </w:rPr>
            </w:pPr>
            <w:r>
              <w:rPr>
                <w:b/>
                <w:bCs/>
                <w:color w:val="FFFFFF" w:themeColor="background1"/>
              </w:rPr>
              <w:t>Proposed Rate Design</w:t>
            </w:r>
          </w:p>
        </w:tc>
      </w:tr>
      <w:tr w:rsidR="00514CCC" w:rsidRPr="00564291" w14:paraId="36ED1100" w14:textId="77777777" w:rsidTr="00536D8F">
        <w:tc>
          <w:tcPr>
            <w:tcW w:w="1976" w:type="dxa"/>
            <w:tcBorders>
              <w:left w:val="single" w:sz="12" w:space="0" w:color="auto"/>
            </w:tcBorders>
            <w:vAlign w:val="center"/>
          </w:tcPr>
          <w:p w14:paraId="0EC0FE86" w14:textId="74FB73D0" w:rsidR="00514CCC" w:rsidRPr="00564291" w:rsidRDefault="00514CCC" w:rsidP="00F17DDB">
            <w:pPr>
              <w:pStyle w:val="BodyText2"/>
              <w:spacing w:line="240" w:lineRule="auto"/>
              <w:ind w:left="0" w:firstLine="0"/>
              <w:jc w:val="center"/>
              <w:rPr>
                <w:color w:val="auto"/>
              </w:rPr>
            </w:pPr>
            <w:r>
              <w:rPr>
                <w:color w:val="auto"/>
              </w:rPr>
              <w:t>AL-TOU-M</w:t>
            </w:r>
          </w:p>
        </w:tc>
        <w:tc>
          <w:tcPr>
            <w:tcW w:w="3271" w:type="dxa"/>
            <w:vMerge w:val="restart"/>
            <w:vAlign w:val="center"/>
          </w:tcPr>
          <w:p w14:paraId="10E3A082" w14:textId="7CDFDF92" w:rsidR="00514CCC" w:rsidRDefault="00D71CCB" w:rsidP="00F17DDB">
            <w:pPr>
              <w:pStyle w:val="BodyText2"/>
              <w:spacing w:line="240" w:lineRule="auto"/>
              <w:ind w:left="0" w:firstLine="0"/>
              <w:jc w:val="center"/>
              <w:rPr>
                <w:color w:val="auto"/>
              </w:rPr>
            </w:pPr>
            <w:r>
              <w:rPr>
                <w:color w:val="auto"/>
              </w:rPr>
              <w:t>100% Demand (</w:t>
            </w:r>
            <w:r w:rsidR="00373029">
              <w:rPr>
                <w:color w:val="auto"/>
              </w:rPr>
              <w:t>$/</w:t>
            </w:r>
            <w:r>
              <w:rPr>
                <w:color w:val="auto"/>
              </w:rPr>
              <w:t>kW)</w:t>
            </w:r>
          </w:p>
        </w:tc>
        <w:tc>
          <w:tcPr>
            <w:tcW w:w="3378" w:type="dxa"/>
            <w:vMerge w:val="restart"/>
            <w:tcBorders>
              <w:right w:val="single" w:sz="12" w:space="0" w:color="auto"/>
            </w:tcBorders>
            <w:vAlign w:val="center"/>
          </w:tcPr>
          <w:p w14:paraId="325BB4E1" w14:textId="6DA16102" w:rsidR="00CE5A5D" w:rsidRDefault="00514CCC" w:rsidP="00585DD6">
            <w:pPr>
              <w:pStyle w:val="BodyText2"/>
              <w:spacing w:line="240" w:lineRule="auto"/>
              <w:ind w:left="0" w:firstLine="0"/>
              <w:jc w:val="center"/>
              <w:rPr>
                <w:color w:val="auto"/>
              </w:rPr>
            </w:pPr>
            <w:r>
              <w:rPr>
                <w:color w:val="auto"/>
              </w:rPr>
              <w:t>75% Demand (</w:t>
            </w:r>
            <w:r w:rsidR="00373029">
              <w:rPr>
                <w:color w:val="auto"/>
              </w:rPr>
              <w:t>$/</w:t>
            </w:r>
            <w:r>
              <w:rPr>
                <w:color w:val="auto"/>
              </w:rPr>
              <w:t>kW)</w:t>
            </w:r>
          </w:p>
          <w:p w14:paraId="1CF11979" w14:textId="58DD06D3" w:rsidR="00514CCC" w:rsidRPr="00564291" w:rsidRDefault="00CE5A5D" w:rsidP="00F17DDB">
            <w:pPr>
              <w:pStyle w:val="BodyText2"/>
              <w:spacing w:line="240" w:lineRule="auto"/>
              <w:ind w:left="0" w:firstLine="0"/>
              <w:jc w:val="center"/>
              <w:rPr>
                <w:color w:val="auto"/>
              </w:rPr>
            </w:pPr>
            <w:r>
              <w:rPr>
                <w:color w:val="auto"/>
              </w:rPr>
              <w:t>25% Volumetric ($/kWh)</w:t>
            </w:r>
          </w:p>
        </w:tc>
      </w:tr>
      <w:tr w:rsidR="00514CCC" w:rsidRPr="00564291" w14:paraId="5F53AE13" w14:textId="77777777" w:rsidTr="00536D8F">
        <w:tc>
          <w:tcPr>
            <w:tcW w:w="1976" w:type="dxa"/>
            <w:tcBorders>
              <w:left w:val="single" w:sz="12" w:space="0" w:color="auto"/>
              <w:bottom w:val="single" w:sz="12" w:space="0" w:color="auto"/>
            </w:tcBorders>
            <w:vAlign w:val="center"/>
          </w:tcPr>
          <w:p w14:paraId="352F80C7" w14:textId="7DED25FC" w:rsidR="00514CCC" w:rsidRPr="00564291" w:rsidRDefault="00514CCC">
            <w:pPr>
              <w:pStyle w:val="BodyText2"/>
              <w:spacing w:line="240" w:lineRule="auto"/>
              <w:ind w:left="0" w:firstLine="0"/>
              <w:jc w:val="center"/>
              <w:rPr>
                <w:color w:val="auto"/>
              </w:rPr>
            </w:pPr>
            <w:r>
              <w:rPr>
                <w:color w:val="auto"/>
              </w:rPr>
              <w:t>DG-R-M</w:t>
            </w:r>
          </w:p>
        </w:tc>
        <w:tc>
          <w:tcPr>
            <w:tcW w:w="3271" w:type="dxa"/>
            <w:vMerge/>
            <w:tcBorders>
              <w:bottom w:val="single" w:sz="12" w:space="0" w:color="auto"/>
            </w:tcBorders>
            <w:vAlign w:val="center"/>
          </w:tcPr>
          <w:p w14:paraId="7B317711" w14:textId="77777777" w:rsidR="00514CCC" w:rsidRPr="00564291" w:rsidRDefault="00514CCC">
            <w:pPr>
              <w:pStyle w:val="BodyText2"/>
              <w:spacing w:line="240" w:lineRule="auto"/>
              <w:ind w:left="0" w:firstLine="0"/>
              <w:jc w:val="center"/>
              <w:rPr>
                <w:color w:val="auto"/>
              </w:rPr>
            </w:pPr>
          </w:p>
        </w:tc>
        <w:tc>
          <w:tcPr>
            <w:tcW w:w="3378" w:type="dxa"/>
            <w:vMerge/>
            <w:tcBorders>
              <w:bottom w:val="single" w:sz="12" w:space="0" w:color="auto"/>
              <w:right w:val="single" w:sz="12" w:space="0" w:color="auto"/>
            </w:tcBorders>
            <w:vAlign w:val="center"/>
          </w:tcPr>
          <w:p w14:paraId="3FB1FE13" w14:textId="41FBFD4E" w:rsidR="00514CCC" w:rsidRPr="00564291" w:rsidRDefault="00514CCC">
            <w:pPr>
              <w:pStyle w:val="BodyText2"/>
              <w:spacing w:line="240" w:lineRule="auto"/>
              <w:ind w:left="0" w:firstLine="0"/>
              <w:jc w:val="center"/>
              <w:rPr>
                <w:color w:val="auto"/>
              </w:rPr>
            </w:pPr>
          </w:p>
        </w:tc>
      </w:tr>
      <w:tr w:rsidR="00585DD6" w:rsidRPr="00564291" w14:paraId="7A10734A" w14:textId="77777777" w:rsidTr="00536D8F">
        <w:tc>
          <w:tcPr>
            <w:tcW w:w="1976" w:type="dxa"/>
            <w:tcBorders>
              <w:top w:val="single" w:sz="12" w:space="0" w:color="auto"/>
              <w:left w:val="single" w:sz="12" w:space="0" w:color="auto"/>
            </w:tcBorders>
            <w:vAlign w:val="center"/>
          </w:tcPr>
          <w:p w14:paraId="2849F70E" w14:textId="0082FE0F" w:rsidR="00585DD6" w:rsidRPr="00564291" w:rsidRDefault="00585DD6" w:rsidP="00F17DDB">
            <w:pPr>
              <w:pStyle w:val="BodyText2"/>
              <w:spacing w:line="240" w:lineRule="auto"/>
              <w:ind w:left="0" w:firstLine="0"/>
              <w:jc w:val="center"/>
              <w:rPr>
                <w:color w:val="auto"/>
              </w:rPr>
            </w:pPr>
            <w:r>
              <w:rPr>
                <w:color w:val="auto"/>
              </w:rPr>
              <w:t>OL-TOU</w:t>
            </w:r>
          </w:p>
        </w:tc>
        <w:tc>
          <w:tcPr>
            <w:tcW w:w="3271" w:type="dxa"/>
            <w:vMerge w:val="restart"/>
            <w:tcBorders>
              <w:top w:val="single" w:sz="12" w:space="0" w:color="auto"/>
            </w:tcBorders>
            <w:vAlign w:val="center"/>
          </w:tcPr>
          <w:p w14:paraId="02630469" w14:textId="200A7FD8" w:rsidR="00585DD6" w:rsidRPr="00564291" w:rsidRDefault="00585DD6" w:rsidP="00F17DDB">
            <w:pPr>
              <w:pStyle w:val="BodyText2"/>
              <w:spacing w:line="240" w:lineRule="auto"/>
              <w:ind w:left="0" w:firstLine="0"/>
              <w:jc w:val="center"/>
              <w:rPr>
                <w:color w:val="auto"/>
              </w:rPr>
            </w:pPr>
            <w:r>
              <w:rPr>
                <w:color w:val="auto"/>
              </w:rPr>
              <w:t>100% Volumetric ($/kWh)</w:t>
            </w:r>
          </w:p>
        </w:tc>
        <w:tc>
          <w:tcPr>
            <w:tcW w:w="3378" w:type="dxa"/>
            <w:vMerge w:val="restart"/>
            <w:tcBorders>
              <w:top w:val="single" w:sz="12" w:space="0" w:color="auto"/>
              <w:right w:val="single" w:sz="12" w:space="0" w:color="auto"/>
            </w:tcBorders>
            <w:vAlign w:val="center"/>
          </w:tcPr>
          <w:p w14:paraId="389799FF" w14:textId="77DEA3D7" w:rsidR="00585DD6" w:rsidRPr="00564291" w:rsidRDefault="00585DD6" w:rsidP="00F17DDB">
            <w:pPr>
              <w:pStyle w:val="BodyText2"/>
              <w:spacing w:line="240" w:lineRule="auto"/>
              <w:ind w:left="0" w:firstLine="0"/>
              <w:jc w:val="center"/>
              <w:rPr>
                <w:color w:val="auto"/>
              </w:rPr>
            </w:pPr>
            <w:r>
              <w:rPr>
                <w:color w:val="auto"/>
              </w:rPr>
              <w:t>100% Volumetric ($/kWh)</w:t>
            </w:r>
          </w:p>
        </w:tc>
      </w:tr>
      <w:tr w:rsidR="00585DD6" w:rsidRPr="00564291" w14:paraId="6D8C9398" w14:textId="77777777">
        <w:tc>
          <w:tcPr>
            <w:tcW w:w="1976" w:type="dxa"/>
            <w:tcBorders>
              <w:left w:val="single" w:sz="12" w:space="0" w:color="auto"/>
            </w:tcBorders>
            <w:vAlign w:val="center"/>
          </w:tcPr>
          <w:p w14:paraId="22A291BB" w14:textId="06FEFCE3" w:rsidR="00585DD6" w:rsidRDefault="00585DD6" w:rsidP="00F17DDB">
            <w:pPr>
              <w:pStyle w:val="BodyText2"/>
              <w:spacing w:line="240" w:lineRule="auto"/>
              <w:ind w:left="0" w:firstLine="0"/>
              <w:jc w:val="center"/>
              <w:rPr>
                <w:color w:val="auto"/>
              </w:rPr>
            </w:pPr>
            <w:r>
              <w:rPr>
                <w:color w:val="auto"/>
              </w:rPr>
              <w:t>TOU-M</w:t>
            </w:r>
          </w:p>
        </w:tc>
        <w:tc>
          <w:tcPr>
            <w:tcW w:w="3271" w:type="dxa"/>
            <w:vMerge/>
          </w:tcPr>
          <w:p w14:paraId="0B71D1D2" w14:textId="77777777" w:rsidR="00585DD6" w:rsidRPr="00564291" w:rsidRDefault="00585DD6">
            <w:pPr>
              <w:pStyle w:val="BodyText2"/>
              <w:spacing w:line="240" w:lineRule="auto"/>
              <w:ind w:left="0" w:firstLine="0"/>
              <w:rPr>
                <w:color w:val="auto"/>
              </w:rPr>
            </w:pPr>
          </w:p>
        </w:tc>
        <w:tc>
          <w:tcPr>
            <w:tcW w:w="3378" w:type="dxa"/>
            <w:vMerge/>
            <w:tcBorders>
              <w:right w:val="single" w:sz="12" w:space="0" w:color="auto"/>
            </w:tcBorders>
          </w:tcPr>
          <w:p w14:paraId="51BD7DB6" w14:textId="53053FEA" w:rsidR="00585DD6" w:rsidRPr="00564291" w:rsidRDefault="00585DD6">
            <w:pPr>
              <w:pStyle w:val="BodyText2"/>
              <w:spacing w:line="240" w:lineRule="auto"/>
              <w:ind w:left="0" w:firstLine="0"/>
              <w:rPr>
                <w:color w:val="auto"/>
              </w:rPr>
            </w:pPr>
          </w:p>
        </w:tc>
      </w:tr>
      <w:tr w:rsidR="00585DD6" w:rsidRPr="00564291" w14:paraId="5828751A" w14:textId="77777777">
        <w:tc>
          <w:tcPr>
            <w:tcW w:w="1976" w:type="dxa"/>
            <w:tcBorders>
              <w:left w:val="single" w:sz="12" w:space="0" w:color="auto"/>
              <w:bottom w:val="single" w:sz="12" w:space="0" w:color="auto"/>
            </w:tcBorders>
            <w:vAlign w:val="center"/>
          </w:tcPr>
          <w:p w14:paraId="643E1766" w14:textId="584CC244" w:rsidR="00585DD6" w:rsidRDefault="00585DD6" w:rsidP="00F17DDB">
            <w:pPr>
              <w:pStyle w:val="BodyText2"/>
              <w:spacing w:line="240" w:lineRule="auto"/>
              <w:ind w:left="0" w:firstLine="0"/>
              <w:jc w:val="center"/>
              <w:rPr>
                <w:color w:val="auto"/>
              </w:rPr>
            </w:pPr>
            <w:r>
              <w:rPr>
                <w:color w:val="auto"/>
              </w:rPr>
              <w:t>EV-HP</w:t>
            </w:r>
          </w:p>
        </w:tc>
        <w:tc>
          <w:tcPr>
            <w:tcW w:w="3271" w:type="dxa"/>
            <w:vMerge/>
            <w:tcBorders>
              <w:bottom w:val="single" w:sz="12" w:space="0" w:color="auto"/>
            </w:tcBorders>
          </w:tcPr>
          <w:p w14:paraId="20FC427E" w14:textId="77777777" w:rsidR="00585DD6" w:rsidRPr="00564291" w:rsidRDefault="00585DD6">
            <w:pPr>
              <w:pStyle w:val="BodyText2"/>
              <w:spacing w:line="240" w:lineRule="auto"/>
              <w:ind w:left="0" w:firstLine="0"/>
              <w:rPr>
                <w:color w:val="auto"/>
              </w:rPr>
            </w:pPr>
          </w:p>
        </w:tc>
        <w:tc>
          <w:tcPr>
            <w:tcW w:w="3378" w:type="dxa"/>
            <w:vMerge/>
            <w:tcBorders>
              <w:bottom w:val="single" w:sz="12" w:space="0" w:color="auto"/>
              <w:right w:val="single" w:sz="12" w:space="0" w:color="auto"/>
            </w:tcBorders>
          </w:tcPr>
          <w:p w14:paraId="3D148B15" w14:textId="7CDF6395" w:rsidR="00585DD6" w:rsidRPr="00564291" w:rsidRDefault="00585DD6">
            <w:pPr>
              <w:pStyle w:val="BodyText2"/>
              <w:spacing w:line="240" w:lineRule="auto"/>
              <w:ind w:left="0" w:firstLine="0"/>
              <w:rPr>
                <w:color w:val="auto"/>
              </w:rPr>
            </w:pPr>
          </w:p>
        </w:tc>
      </w:tr>
    </w:tbl>
    <w:p w14:paraId="70FDE7E7" w14:textId="77777777" w:rsidR="00B11BB2" w:rsidRPr="00AE505D" w:rsidRDefault="00B11BB2" w:rsidP="00CB3AB6">
      <w:pPr>
        <w:pStyle w:val="BodyText3"/>
        <w:ind w:hanging="720"/>
        <w:rPr>
          <w:color w:val="auto"/>
        </w:rPr>
      </w:pPr>
    </w:p>
    <w:p w14:paraId="1BA40347" w14:textId="0A11A651" w:rsidR="007A7D30" w:rsidRPr="00DB2927" w:rsidRDefault="00CB2E2F" w:rsidP="23D4C5F0">
      <w:pPr>
        <w:pStyle w:val="BodyText3"/>
        <w:ind w:left="0" w:firstLine="0"/>
        <w:rPr>
          <w:color w:val="auto"/>
        </w:rPr>
      </w:pPr>
      <w:r w:rsidRPr="00DB2927">
        <w:rPr>
          <w:b/>
          <w:bCs/>
          <w:color w:val="auto"/>
        </w:rPr>
        <w:t>B</w:t>
      </w:r>
      <w:bookmarkStart w:id="0" w:name="_Hlk63319518"/>
      <w:r w:rsidR="007A7D30" w:rsidRPr="00DB2927">
        <w:rPr>
          <w:b/>
          <w:bCs/>
          <w:color w:val="auto"/>
        </w:rPr>
        <w:t>.</w:t>
      </w:r>
      <w:r w:rsidR="007A7D30">
        <w:tab/>
      </w:r>
      <w:r w:rsidR="007A7D30" w:rsidRPr="007A7D30">
        <w:rPr>
          <w:b/>
          <w:bCs/>
          <w:color w:val="auto"/>
        </w:rPr>
        <w:t>Update the treatment of historical sales and demand factors</w:t>
      </w:r>
      <w:r w:rsidR="00BE3D13">
        <w:rPr>
          <w:b/>
          <w:bCs/>
          <w:color w:val="auto"/>
        </w:rPr>
        <w:t xml:space="preserve"> </w:t>
      </w:r>
    </w:p>
    <w:p w14:paraId="2897395A" w14:textId="74440176" w:rsidR="007A7D30" w:rsidRPr="007A7D30" w:rsidRDefault="007A7D30" w:rsidP="00CB3AB6">
      <w:pPr>
        <w:tabs>
          <w:tab w:val="left" w:pos="720"/>
        </w:tabs>
        <w:spacing w:line="480" w:lineRule="auto"/>
        <w:ind w:left="720" w:hanging="720"/>
        <w:rPr>
          <w:rFonts w:cs="Times New Roman"/>
          <w:b/>
          <w:bCs/>
        </w:rPr>
      </w:pPr>
      <w:r w:rsidRPr="007A7D30">
        <w:rPr>
          <w:rFonts w:cs="Times New Roman"/>
          <w:b/>
          <w:bCs/>
        </w:rPr>
        <w:t>Q</w:t>
      </w:r>
      <w:r>
        <w:rPr>
          <w:rFonts w:cs="Times New Roman"/>
          <w:b/>
          <w:bCs/>
        </w:rPr>
        <w:t>1</w:t>
      </w:r>
      <w:r w:rsidR="00A43C21">
        <w:rPr>
          <w:rFonts w:cs="Times New Roman"/>
          <w:b/>
          <w:bCs/>
        </w:rPr>
        <w:t>0</w:t>
      </w:r>
      <w:r w:rsidRPr="007A7D30">
        <w:rPr>
          <w:rFonts w:cs="Times New Roman"/>
          <w:b/>
          <w:bCs/>
        </w:rPr>
        <w:t>.</w:t>
      </w:r>
      <w:r w:rsidRPr="007A7D30">
        <w:rPr>
          <w:rFonts w:cs="Times New Roman"/>
          <w:b/>
          <w:bCs/>
        </w:rPr>
        <w:tab/>
        <w:t xml:space="preserve">Please explain </w:t>
      </w:r>
      <w:r>
        <w:rPr>
          <w:rFonts w:cs="Times New Roman"/>
          <w:b/>
          <w:bCs/>
        </w:rPr>
        <w:t xml:space="preserve">SDG&amp;E’s proposed treatment </w:t>
      </w:r>
      <w:r w:rsidR="00A30F94">
        <w:rPr>
          <w:rFonts w:cs="Times New Roman"/>
          <w:b/>
          <w:bCs/>
        </w:rPr>
        <w:t xml:space="preserve">when billing determinants used to calculate rates are </w:t>
      </w:r>
      <w:r>
        <w:rPr>
          <w:rFonts w:cs="Times New Roman"/>
          <w:b/>
          <w:bCs/>
        </w:rPr>
        <w:t>zero</w:t>
      </w:r>
      <w:r w:rsidRPr="007A7D30">
        <w:rPr>
          <w:rFonts w:cs="Times New Roman"/>
          <w:b/>
          <w:bCs/>
        </w:rPr>
        <w:t>.</w:t>
      </w:r>
    </w:p>
    <w:p w14:paraId="6C42B1A9" w14:textId="12015239" w:rsidR="00A30F94" w:rsidRDefault="007A7D30" w:rsidP="00CB3AB6">
      <w:pPr>
        <w:pStyle w:val="BodyText3"/>
        <w:ind w:hanging="720"/>
        <w:rPr>
          <w:color w:val="auto"/>
        </w:rPr>
      </w:pPr>
      <w:r w:rsidRPr="00797769">
        <w:rPr>
          <w:color w:val="auto"/>
        </w:rPr>
        <w:t>A1</w:t>
      </w:r>
      <w:r w:rsidR="00A43C21">
        <w:rPr>
          <w:color w:val="auto"/>
        </w:rPr>
        <w:t>0</w:t>
      </w:r>
      <w:r w:rsidRPr="00797769">
        <w:rPr>
          <w:color w:val="auto"/>
        </w:rPr>
        <w:t xml:space="preserve">. </w:t>
      </w:r>
      <w:r w:rsidRPr="00797769">
        <w:rPr>
          <w:color w:val="auto"/>
        </w:rPr>
        <w:tab/>
      </w:r>
      <w:r w:rsidR="00033FD3" w:rsidRPr="00797769">
        <w:rPr>
          <w:color w:val="auto"/>
        </w:rPr>
        <w:t>SDG&amp;E is proposing</w:t>
      </w:r>
      <w:r w:rsidRPr="00797769">
        <w:rPr>
          <w:color w:val="auto"/>
        </w:rPr>
        <w:t xml:space="preserve"> to </w:t>
      </w:r>
      <w:r w:rsidR="00A30F94">
        <w:rPr>
          <w:color w:val="auto"/>
        </w:rPr>
        <w:t>update its treatment of historical sales and demand determinants so that, when forecasted billing determinants for a customer class or customer-specific rate</w:t>
      </w:r>
      <w:r w:rsidR="00CD237E">
        <w:rPr>
          <w:color w:val="auto"/>
        </w:rPr>
        <w:t xml:space="preserve"> become zero</w:t>
      </w:r>
      <w:r w:rsidR="00A30F94">
        <w:rPr>
          <w:color w:val="auto"/>
        </w:rPr>
        <w:t>, SDG&amp;E will</w:t>
      </w:r>
      <w:r w:rsidR="00BE3D13">
        <w:rPr>
          <w:color w:val="auto"/>
        </w:rPr>
        <w:t xml:space="preserve"> instead</w:t>
      </w:r>
      <w:r w:rsidR="00A30F94">
        <w:rPr>
          <w:color w:val="auto"/>
        </w:rPr>
        <w:t xml:space="preserve"> use the most recent available non-zero determinant value </w:t>
      </w:r>
      <w:r w:rsidR="0067242F">
        <w:rPr>
          <w:color w:val="auto"/>
        </w:rPr>
        <w:t xml:space="preserve">unless and </w:t>
      </w:r>
      <w:r w:rsidR="00A30F94">
        <w:rPr>
          <w:color w:val="auto"/>
        </w:rPr>
        <w:t xml:space="preserve">until new </w:t>
      </w:r>
      <w:r w:rsidR="00CD237E">
        <w:rPr>
          <w:color w:val="auto"/>
        </w:rPr>
        <w:t xml:space="preserve">non-zero </w:t>
      </w:r>
      <w:r w:rsidR="00A30F94">
        <w:rPr>
          <w:color w:val="auto"/>
        </w:rPr>
        <w:t>values become available</w:t>
      </w:r>
      <w:r w:rsidR="00BE3D13">
        <w:rPr>
          <w:color w:val="auto"/>
        </w:rPr>
        <w:t xml:space="preserve"> to maintain a rate</w:t>
      </w:r>
      <w:r w:rsidR="00A30F94">
        <w:rPr>
          <w:color w:val="auto"/>
        </w:rPr>
        <w:t xml:space="preserve">. </w:t>
      </w:r>
      <w:r w:rsidR="00CD237E">
        <w:rPr>
          <w:color w:val="auto"/>
        </w:rPr>
        <w:t>This methodology would apply to both cost allocation and rate development.</w:t>
      </w:r>
    </w:p>
    <w:p w14:paraId="64C4D84A" w14:textId="55582A73" w:rsidR="00A30F94" w:rsidRDefault="00A30F94" w:rsidP="00CB3AB6">
      <w:pPr>
        <w:pStyle w:val="BodyText3"/>
        <w:ind w:hanging="720"/>
        <w:rPr>
          <w:rFonts w:ascii="TimesNewRomanPSMT" w:hAnsi="TimesNewRomanPSMT" w:cs="TimesNewRomanPSMT"/>
          <w:color w:val="auto"/>
        </w:rPr>
      </w:pPr>
      <w:r>
        <w:rPr>
          <w:color w:val="auto"/>
        </w:rPr>
        <w:tab/>
      </w:r>
      <w:r>
        <w:rPr>
          <w:color w:val="auto"/>
        </w:rPr>
        <w:tab/>
        <w:t xml:space="preserve">At a high level, </w:t>
      </w:r>
      <w:r w:rsidR="004E097D">
        <w:rPr>
          <w:color w:val="auto"/>
        </w:rPr>
        <w:t>rates are calculated in two steps</w:t>
      </w:r>
      <w:r>
        <w:rPr>
          <w:color w:val="auto"/>
        </w:rPr>
        <w:t xml:space="preserve">. First, </w:t>
      </w:r>
      <w:r w:rsidR="004E097D">
        <w:rPr>
          <w:color w:val="auto"/>
        </w:rPr>
        <w:t>costs are allocated to customer classes</w:t>
      </w:r>
      <w:r>
        <w:rPr>
          <w:color w:val="auto"/>
        </w:rPr>
        <w:t xml:space="preserve"> and, where applicable, to customer-specific rates such as the </w:t>
      </w:r>
      <w:r w:rsidR="009A6745" w:rsidRPr="00797769">
        <w:rPr>
          <w:color w:val="auto"/>
        </w:rPr>
        <w:t xml:space="preserve">San Diego Unified Port District (SDUPD) </w:t>
      </w:r>
      <w:r w:rsidR="004E097D">
        <w:rPr>
          <w:color w:val="auto"/>
        </w:rPr>
        <w:t>rate</w:t>
      </w:r>
      <w:r>
        <w:rPr>
          <w:color w:val="auto"/>
        </w:rPr>
        <w:t xml:space="preserve">. Second, those allocated </w:t>
      </w:r>
      <w:r w:rsidR="004E097D">
        <w:rPr>
          <w:color w:val="auto"/>
        </w:rPr>
        <w:t xml:space="preserve">costs are divided by </w:t>
      </w:r>
      <w:r>
        <w:rPr>
          <w:color w:val="auto"/>
        </w:rPr>
        <w:t xml:space="preserve">the applicable </w:t>
      </w:r>
      <w:r w:rsidR="004E097D">
        <w:rPr>
          <w:color w:val="auto"/>
        </w:rPr>
        <w:t xml:space="preserve">forecasted </w:t>
      </w:r>
      <w:r>
        <w:rPr>
          <w:color w:val="auto"/>
        </w:rPr>
        <w:t>billing determinants</w:t>
      </w:r>
      <w:r w:rsidR="00595489">
        <w:rPr>
          <w:color w:val="auto"/>
        </w:rPr>
        <w:t xml:space="preserve"> (demand</w:t>
      </w:r>
      <w:r w:rsidR="009A26EA">
        <w:rPr>
          <w:color w:val="auto"/>
        </w:rPr>
        <w:t xml:space="preserve"> or volumetric</w:t>
      </w:r>
      <w:r w:rsidR="00595489">
        <w:rPr>
          <w:color w:val="auto"/>
        </w:rPr>
        <w:t>)</w:t>
      </w:r>
      <w:r>
        <w:rPr>
          <w:color w:val="auto"/>
        </w:rPr>
        <w:t xml:space="preserve"> </w:t>
      </w:r>
      <w:r w:rsidR="004E097D">
        <w:rPr>
          <w:color w:val="auto"/>
        </w:rPr>
        <w:t>to develop rate</w:t>
      </w:r>
      <w:r>
        <w:rPr>
          <w:color w:val="auto"/>
        </w:rPr>
        <w:t>s</w:t>
      </w:r>
      <w:r w:rsidR="004E097D">
        <w:rPr>
          <w:color w:val="auto"/>
        </w:rPr>
        <w:t xml:space="preserve">. </w:t>
      </w:r>
      <w:r>
        <w:rPr>
          <w:color w:val="auto"/>
        </w:rPr>
        <w:t xml:space="preserve">For BTRR and RS demand rates, </w:t>
      </w:r>
      <w:r w:rsidR="004E097D">
        <w:rPr>
          <w:color w:val="auto"/>
        </w:rPr>
        <w:t>cost</w:t>
      </w:r>
      <w:r>
        <w:rPr>
          <w:color w:val="auto"/>
        </w:rPr>
        <w:t>s are allocated using the 12-month coincident peak (</w:t>
      </w:r>
      <w:r w:rsidR="004E097D">
        <w:rPr>
          <w:color w:val="auto"/>
        </w:rPr>
        <w:t xml:space="preserve">12-CP) </w:t>
      </w:r>
      <w:r>
        <w:rPr>
          <w:color w:val="auto"/>
        </w:rPr>
        <w:t xml:space="preserve">method, which reflects </w:t>
      </w:r>
      <w:r w:rsidR="004E097D" w:rsidRPr="009564A1">
        <w:rPr>
          <w:color w:val="auto"/>
        </w:rPr>
        <w:t>each class’</w:t>
      </w:r>
      <w:r w:rsidR="004E097D">
        <w:rPr>
          <w:color w:val="auto"/>
        </w:rPr>
        <w:t>s</w:t>
      </w:r>
      <w:r w:rsidR="004E097D" w:rsidRPr="009564A1">
        <w:rPr>
          <w:color w:val="auto"/>
        </w:rPr>
        <w:t xml:space="preserve"> demand </w:t>
      </w:r>
      <w:r w:rsidR="004E097D" w:rsidRPr="009564A1">
        <w:rPr>
          <w:rFonts w:ascii="TimesNewRomanPSMT" w:hAnsi="TimesNewRomanPSMT" w:cs="TimesNewRomanPSMT"/>
          <w:color w:val="auto"/>
        </w:rPr>
        <w:t xml:space="preserve">coincident with SDG&amp;E’s overall </w:t>
      </w:r>
      <w:r w:rsidR="004E097D" w:rsidRPr="009564A1">
        <w:rPr>
          <w:rFonts w:ascii="TimesNewRomanPSMT" w:hAnsi="TimesNewRomanPSMT" w:cs="TimesNewRomanPSMT"/>
          <w:color w:val="auto"/>
        </w:rPr>
        <w:lastRenderedPageBreak/>
        <w:t>system</w:t>
      </w:r>
      <w:r>
        <w:rPr>
          <w:rFonts w:ascii="TimesNewRomanPSMT" w:hAnsi="TimesNewRomanPSMT" w:cs="TimesNewRomanPSMT"/>
          <w:color w:val="auto"/>
        </w:rPr>
        <w:t xml:space="preserve"> </w:t>
      </w:r>
      <w:r w:rsidR="004E097D" w:rsidRPr="009564A1">
        <w:rPr>
          <w:rFonts w:ascii="TimesNewRomanPSMT" w:hAnsi="TimesNewRomanPSMT" w:cs="TimesNewRomanPSMT"/>
          <w:color w:val="auto"/>
        </w:rPr>
        <w:t xml:space="preserve">peak </w:t>
      </w:r>
      <w:r>
        <w:rPr>
          <w:rFonts w:ascii="TimesNewRomanPSMT" w:hAnsi="TimesNewRomanPSMT" w:cs="TimesNewRomanPSMT"/>
          <w:color w:val="auto"/>
        </w:rPr>
        <w:t xml:space="preserve">over the applicable 5-year historical period </w:t>
      </w:r>
      <w:r w:rsidR="004E097D">
        <w:rPr>
          <w:rFonts w:ascii="TimesNewRomanPSMT" w:hAnsi="TimesNewRomanPSMT" w:cs="TimesNewRomanPSMT"/>
          <w:color w:val="auto"/>
        </w:rPr>
        <w:t>(ex. 20</w:t>
      </w:r>
      <w:r w:rsidR="00C54DE4">
        <w:rPr>
          <w:rFonts w:ascii="TimesNewRomanPSMT" w:hAnsi="TimesNewRomanPSMT" w:cs="TimesNewRomanPSMT"/>
          <w:color w:val="auto"/>
        </w:rPr>
        <w:t>19</w:t>
      </w:r>
      <w:r w:rsidR="004E097D">
        <w:rPr>
          <w:rFonts w:ascii="TimesNewRomanPSMT" w:hAnsi="TimesNewRomanPSMT" w:cs="TimesNewRomanPSMT"/>
          <w:color w:val="auto"/>
        </w:rPr>
        <w:t>-202</w:t>
      </w:r>
      <w:r w:rsidR="00C54DE4">
        <w:rPr>
          <w:rFonts w:ascii="TimesNewRomanPSMT" w:hAnsi="TimesNewRomanPSMT" w:cs="TimesNewRomanPSMT"/>
          <w:color w:val="auto"/>
        </w:rPr>
        <w:t>3</w:t>
      </w:r>
      <w:r w:rsidR="004E097D" w:rsidRPr="009564A1">
        <w:rPr>
          <w:rFonts w:ascii="TimesNewRomanPSMT" w:hAnsi="TimesNewRomanPSMT" w:cs="TimesNewRomanPSMT"/>
          <w:color w:val="auto"/>
        </w:rPr>
        <w:t xml:space="preserve"> </w:t>
      </w:r>
      <w:r w:rsidR="004E097D">
        <w:rPr>
          <w:rFonts w:ascii="TimesNewRomanPSMT" w:hAnsi="TimesNewRomanPSMT" w:cs="TimesNewRomanPSMT"/>
          <w:color w:val="auto"/>
        </w:rPr>
        <w:t>for</w:t>
      </w:r>
      <w:r w:rsidR="004E097D" w:rsidRPr="009564A1">
        <w:rPr>
          <w:rFonts w:ascii="TimesNewRomanPSMT" w:hAnsi="TimesNewRomanPSMT" w:cs="TimesNewRomanPSMT"/>
          <w:color w:val="auto"/>
        </w:rPr>
        <w:t xml:space="preserve"> SDG&amp;E’s current 2026 BTRR rates and RS demand rates</w:t>
      </w:r>
      <w:r w:rsidR="004E097D">
        <w:rPr>
          <w:rFonts w:ascii="TimesNewRomanPSMT" w:hAnsi="TimesNewRomanPSMT" w:cs="TimesNewRomanPSMT"/>
          <w:color w:val="auto"/>
        </w:rPr>
        <w:t>).</w:t>
      </w:r>
      <w:r w:rsidR="004E097D" w:rsidRPr="00797769" w:rsidDel="004E097D">
        <w:rPr>
          <w:color w:val="auto"/>
        </w:rPr>
        <w:t xml:space="preserve"> </w:t>
      </w:r>
      <w:r>
        <w:rPr>
          <w:color w:val="auto"/>
        </w:rPr>
        <w:t xml:space="preserve">For </w:t>
      </w:r>
      <w:r w:rsidR="004E097D" w:rsidRPr="003D3EA1">
        <w:rPr>
          <w:rFonts w:ascii="TimesNewRomanPSMT" w:hAnsi="TimesNewRomanPSMT" w:cs="TimesNewRomanPSMT"/>
          <w:color w:val="auto"/>
        </w:rPr>
        <w:t xml:space="preserve">RS energy </w:t>
      </w:r>
      <w:r>
        <w:rPr>
          <w:rFonts w:ascii="TimesNewRomanPSMT" w:hAnsi="TimesNewRomanPSMT" w:cs="TimesNewRomanPSMT"/>
          <w:color w:val="auto"/>
        </w:rPr>
        <w:t xml:space="preserve">rates, </w:t>
      </w:r>
      <w:r w:rsidR="004E097D" w:rsidRPr="003D3EA1">
        <w:rPr>
          <w:rFonts w:ascii="TimesNewRomanPSMT" w:hAnsi="TimesNewRomanPSMT" w:cs="TimesNewRomanPSMT"/>
          <w:color w:val="auto"/>
        </w:rPr>
        <w:t xml:space="preserve">costs are allocated based on the </w:t>
      </w:r>
      <w:r w:rsidR="004E097D">
        <w:rPr>
          <w:rFonts w:ascii="TimesNewRomanPSMT" w:hAnsi="TimesNewRomanPSMT" w:cs="TimesNewRomanPSMT"/>
          <w:color w:val="auto"/>
        </w:rPr>
        <w:t xml:space="preserve">forecasted </w:t>
      </w:r>
      <w:r w:rsidR="004E097D" w:rsidRPr="003D3EA1">
        <w:rPr>
          <w:rFonts w:ascii="TimesNewRomanPSMT" w:hAnsi="TimesNewRomanPSMT" w:cs="TimesNewRomanPSMT"/>
          <w:color w:val="auto"/>
        </w:rPr>
        <w:t>kWh energy usage.</w:t>
      </w:r>
      <w:r w:rsidR="004E097D">
        <w:rPr>
          <w:rFonts w:ascii="TimesNewRomanPSMT" w:hAnsi="TimesNewRomanPSMT" w:cs="TimesNewRomanPSMT"/>
          <w:color w:val="auto"/>
        </w:rPr>
        <w:t xml:space="preserve">  </w:t>
      </w:r>
    </w:p>
    <w:p w14:paraId="4D8B540F" w14:textId="15D1B05E" w:rsidR="00172A56" w:rsidRDefault="00172A56" w:rsidP="00CB3AB6">
      <w:pPr>
        <w:pStyle w:val="BodyText3"/>
        <w:ind w:hanging="720"/>
        <w:rPr>
          <w:rFonts w:ascii="TimesNewRomanPSMT" w:hAnsi="TimesNewRomanPSMT" w:cs="TimesNewRomanPSMT"/>
          <w:color w:val="auto"/>
        </w:rPr>
      </w:pPr>
      <w:r>
        <w:rPr>
          <w:rFonts w:ascii="TimesNewRomanPSMT" w:hAnsi="TimesNewRomanPSMT" w:cs="TimesNewRomanPSMT"/>
          <w:color w:val="auto"/>
        </w:rPr>
        <w:tab/>
      </w:r>
      <w:r>
        <w:rPr>
          <w:rFonts w:ascii="TimesNewRomanPSMT" w:hAnsi="TimesNewRomanPSMT" w:cs="TimesNewRomanPSMT"/>
          <w:color w:val="auto"/>
        </w:rPr>
        <w:tab/>
        <w:t xml:space="preserve">When the applicable forecasted determinant is zero, the standard rate calculation (costs divided by sales determinants) cannot produce a meaningful rate because the resulting rate is zero. This is inconsistent with cost recovery and could send improper price signals to customers by suggesting that transmission-related costs are not applicable when, in fact, costs have been allocated to the class or customer-specific rate.  </w:t>
      </w:r>
      <w:r w:rsidR="00A30F94">
        <w:rPr>
          <w:rFonts w:ascii="TimesNewRomanPSMT" w:hAnsi="TimesNewRomanPSMT" w:cs="TimesNewRomanPSMT"/>
          <w:color w:val="auto"/>
        </w:rPr>
        <w:tab/>
      </w:r>
      <w:r w:rsidR="00A30F94">
        <w:rPr>
          <w:rFonts w:ascii="TimesNewRomanPSMT" w:hAnsi="TimesNewRomanPSMT" w:cs="TimesNewRomanPSMT"/>
          <w:color w:val="auto"/>
        </w:rPr>
        <w:tab/>
      </w:r>
    </w:p>
    <w:p w14:paraId="41D178EA" w14:textId="652F7181" w:rsidR="009A6745" w:rsidRPr="009A6745" w:rsidRDefault="00172A56" w:rsidP="00CB3AB6">
      <w:pPr>
        <w:pStyle w:val="BodyText3"/>
        <w:ind w:hanging="720"/>
        <w:rPr>
          <w:color w:val="auto"/>
        </w:rPr>
      </w:pPr>
      <w:r>
        <w:rPr>
          <w:color w:val="auto"/>
        </w:rPr>
        <w:tab/>
      </w:r>
      <w:r>
        <w:rPr>
          <w:color w:val="auto"/>
        </w:rPr>
        <w:tab/>
        <w:t xml:space="preserve">This issue currently arises for SDUPD port-specific rates. </w:t>
      </w:r>
      <w:r w:rsidR="00797769" w:rsidRPr="008B56B0">
        <w:rPr>
          <w:color w:val="auto"/>
        </w:rPr>
        <w:t xml:space="preserve">As </w:t>
      </w:r>
      <w:r w:rsidR="00B16678">
        <w:rPr>
          <w:color w:val="auto"/>
        </w:rPr>
        <w:t>approved</w:t>
      </w:r>
      <w:r w:rsidR="00B16678" w:rsidRPr="008B56B0">
        <w:rPr>
          <w:color w:val="auto"/>
        </w:rPr>
        <w:t xml:space="preserve"> </w:t>
      </w:r>
      <w:r w:rsidR="00797769" w:rsidRPr="008B56B0">
        <w:rPr>
          <w:color w:val="auto"/>
        </w:rPr>
        <w:t>in ER21-</w:t>
      </w:r>
      <w:r w:rsidR="00C76257" w:rsidRPr="008B56B0">
        <w:rPr>
          <w:color w:val="auto"/>
        </w:rPr>
        <w:t>2540</w:t>
      </w:r>
      <w:r w:rsidR="00797769" w:rsidRPr="008B56B0">
        <w:rPr>
          <w:color w:val="auto"/>
        </w:rPr>
        <w:t>-</w:t>
      </w:r>
      <w:r w:rsidR="00C76257" w:rsidRPr="008B56B0">
        <w:rPr>
          <w:color w:val="auto"/>
        </w:rPr>
        <w:t>000</w:t>
      </w:r>
      <w:r w:rsidR="00797769" w:rsidRPr="008B56B0">
        <w:rPr>
          <w:color w:val="auto"/>
        </w:rPr>
        <w:t>, the SDUPD</w:t>
      </w:r>
      <w:r w:rsidR="00033FD3" w:rsidRPr="008B56B0">
        <w:rPr>
          <w:color w:val="auto"/>
        </w:rPr>
        <w:t xml:space="preserve"> rates </w:t>
      </w:r>
      <w:r w:rsidRPr="008B56B0">
        <w:rPr>
          <w:color w:val="auto"/>
        </w:rPr>
        <w:t xml:space="preserve">are </w:t>
      </w:r>
      <w:r w:rsidR="00033FD3" w:rsidRPr="008B56B0">
        <w:rPr>
          <w:color w:val="auto"/>
        </w:rPr>
        <w:t>developed</w:t>
      </w:r>
      <w:r w:rsidR="00033FD3" w:rsidRPr="00D170B5">
        <w:rPr>
          <w:color w:val="auto"/>
        </w:rPr>
        <w:t xml:space="preserve"> </w:t>
      </w:r>
      <w:r>
        <w:rPr>
          <w:color w:val="auto"/>
        </w:rPr>
        <w:t xml:space="preserve">using </w:t>
      </w:r>
      <w:r w:rsidR="00D170B5" w:rsidRPr="00D170B5">
        <w:rPr>
          <w:color w:val="auto"/>
        </w:rPr>
        <w:t>SDUPD</w:t>
      </w:r>
      <w:r w:rsidR="00033FD3" w:rsidRPr="00D170B5">
        <w:rPr>
          <w:color w:val="auto"/>
        </w:rPr>
        <w:t xml:space="preserve"> </w:t>
      </w:r>
      <w:r w:rsidR="00D170B5" w:rsidRPr="00D170B5">
        <w:rPr>
          <w:color w:val="auto"/>
        </w:rPr>
        <w:t>p</w:t>
      </w:r>
      <w:r w:rsidR="00033FD3" w:rsidRPr="00D170B5">
        <w:rPr>
          <w:color w:val="auto"/>
        </w:rPr>
        <w:t xml:space="preserve">ort-specific </w:t>
      </w:r>
      <w:r>
        <w:rPr>
          <w:color w:val="auto"/>
        </w:rPr>
        <w:t>billing determinants rather than the aggregated determinants of an entire customer class.</w:t>
      </w:r>
      <w:r w:rsidR="00B92FC7">
        <w:rPr>
          <w:rStyle w:val="FootnoteReference"/>
          <w:color w:val="auto"/>
        </w:rPr>
        <w:footnoteReference w:id="5"/>
      </w:r>
      <w:r>
        <w:rPr>
          <w:color w:val="auto"/>
        </w:rPr>
        <w:t xml:space="preserve"> </w:t>
      </w:r>
      <w:r w:rsidR="009A6745">
        <w:rPr>
          <w:color w:val="auto"/>
        </w:rPr>
        <w:t>In the Ju</w:t>
      </w:r>
      <w:r w:rsidR="00C54DE4">
        <w:rPr>
          <w:color w:val="auto"/>
        </w:rPr>
        <w:t>ne</w:t>
      </w:r>
      <w:r w:rsidR="009A6745">
        <w:rPr>
          <w:color w:val="auto"/>
        </w:rPr>
        <w:t xml:space="preserve"> informational posting for TO6 C3, SDUPD had </w:t>
      </w:r>
      <w:r>
        <w:rPr>
          <w:color w:val="auto"/>
        </w:rPr>
        <w:t xml:space="preserve">zero </w:t>
      </w:r>
      <w:r w:rsidR="009A6745">
        <w:rPr>
          <w:color w:val="auto"/>
        </w:rPr>
        <w:t>forecasted usage during the time of system peak</w:t>
      </w:r>
      <w:r>
        <w:rPr>
          <w:color w:val="auto"/>
        </w:rPr>
        <w:t>. As a result</w:t>
      </w:r>
      <w:r w:rsidR="009A6745">
        <w:rPr>
          <w:color w:val="auto"/>
        </w:rPr>
        <w:t xml:space="preserve">, </w:t>
      </w:r>
      <w:r>
        <w:rPr>
          <w:color w:val="auto"/>
        </w:rPr>
        <w:t>al</w:t>
      </w:r>
      <w:r w:rsidR="009A6745">
        <w:rPr>
          <w:color w:val="auto"/>
        </w:rPr>
        <w:t xml:space="preserve">though costs </w:t>
      </w:r>
      <w:r>
        <w:rPr>
          <w:color w:val="auto"/>
        </w:rPr>
        <w:t xml:space="preserve">were allocated for recovery through a max demand at time of system peak rate, the </w:t>
      </w:r>
      <w:r w:rsidDel="00D355D8">
        <w:rPr>
          <w:color w:val="auto"/>
        </w:rPr>
        <w:t>zero</w:t>
      </w:r>
      <w:r w:rsidR="00D355D8">
        <w:rPr>
          <w:color w:val="auto"/>
        </w:rPr>
        <w:t>-determinant</w:t>
      </w:r>
      <w:r>
        <w:rPr>
          <w:color w:val="auto"/>
        </w:rPr>
        <w:t xml:space="preserve"> prevented SDG&amp;E from calculating a meaningful non-zero rate. </w:t>
      </w:r>
      <w:r w:rsidR="009A6745">
        <w:rPr>
          <w:color w:val="auto"/>
        </w:rPr>
        <w:t xml:space="preserve">This zero rate </w:t>
      </w:r>
      <w:r w:rsidR="001A59FF">
        <w:rPr>
          <w:color w:val="auto"/>
        </w:rPr>
        <w:t>incorrectly</w:t>
      </w:r>
      <w:r w:rsidR="009A6745">
        <w:rPr>
          <w:color w:val="auto"/>
        </w:rPr>
        <w:t xml:space="preserve"> </w:t>
      </w:r>
      <w:r>
        <w:rPr>
          <w:color w:val="auto"/>
        </w:rPr>
        <w:t xml:space="preserve">removes the </w:t>
      </w:r>
      <w:r w:rsidR="009A6745">
        <w:rPr>
          <w:color w:val="auto"/>
        </w:rPr>
        <w:t>incentive to shift usage</w:t>
      </w:r>
      <w:r>
        <w:rPr>
          <w:color w:val="auto"/>
        </w:rPr>
        <w:t xml:space="preserve"> out of </w:t>
      </w:r>
      <w:r w:rsidR="009A6745">
        <w:rPr>
          <w:color w:val="auto"/>
        </w:rPr>
        <w:t xml:space="preserve">peak hours.    </w:t>
      </w:r>
    </w:p>
    <w:p w14:paraId="5FF4AB3D" w14:textId="77777777" w:rsidR="00B409A8" w:rsidRDefault="00B409A8" w:rsidP="00B409A8">
      <w:pPr>
        <w:pStyle w:val="BodyText3"/>
        <w:ind w:firstLine="0"/>
        <w:rPr>
          <w:color w:val="auto"/>
        </w:rPr>
      </w:pPr>
      <w:r>
        <w:rPr>
          <w:color w:val="auto"/>
        </w:rPr>
        <w:tab/>
      </w:r>
      <w:r w:rsidR="00172A56" w:rsidRPr="00172A56">
        <w:rPr>
          <w:color w:val="auto"/>
        </w:rPr>
        <w:t xml:space="preserve">SDG&amp;E’s proposed treatment resolves this issue in a limited and reasonable manner. If </w:t>
      </w:r>
      <w:r w:rsidR="00172A56">
        <w:rPr>
          <w:color w:val="auto"/>
        </w:rPr>
        <w:t xml:space="preserve">historical or </w:t>
      </w:r>
      <w:r w:rsidR="00172A56" w:rsidRPr="00172A56">
        <w:rPr>
          <w:color w:val="auto"/>
        </w:rPr>
        <w:t xml:space="preserve">forecasted sales, demand, or other billing determinants used in the BTRR or RS rate calculation are zero, SDG&amp;E will use the most recent available non-zero billing determinant as a proxy until updated </w:t>
      </w:r>
      <w:r w:rsidR="00C20DA7">
        <w:rPr>
          <w:color w:val="auto"/>
        </w:rPr>
        <w:t xml:space="preserve">non-zero </w:t>
      </w:r>
      <w:r w:rsidR="00172A56" w:rsidRPr="00172A56">
        <w:rPr>
          <w:color w:val="auto"/>
        </w:rPr>
        <w:t xml:space="preserve">determinants are available. This approach preserves the ability to calculate rates, supports recovery of allocated costs, </w:t>
      </w:r>
      <w:r w:rsidR="00172A56">
        <w:rPr>
          <w:color w:val="auto"/>
        </w:rPr>
        <w:t xml:space="preserve">and </w:t>
      </w:r>
      <w:r w:rsidR="00172A56" w:rsidRPr="00172A56">
        <w:rPr>
          <w:color w:val="auto"/>
        </w:rPr>
        <w:t>avoids inappropriate zero-rate outcomes</w:t>
      </w:r>
      <w:r w:rsidR="00172A56">
        <w:rPr>
          <w:color w:val="auto"/>
        </w:rPr>
        <w:t xml:space="preserve">.  </w:t>
      </w:r>
    </w:p>
    <w:p w14:paraId="4363D209" w14:textId="78C2B05C" w:rsidR="00D170B5" w:rsidRPr="00854655" w:rsidRDefault="00381D19" w:rsidP="00B409A8">
      <w:pPr>
        <w:pStyle w:val="BodyText3"/>
        <w:ind w:left="0" w:firstLine="0"/>
        <w:rPr>
          <w:color w:val="auto"/>
        </w:rPr>
      </w:pPr>
      <w:r>
        <w:rPr>
          <w:b/>
          <w:bCs/>
          <w:color w:val="auto"/>
        </w:rPr>
        <w:lastRenderedPageBreak/>
        <w:t>C</w:t>
      </w:r>
      <w:r w:rsidR="00D170B5" w:rsidRPr="00DB2927">
        <w:rPr>
          <w:b/>
          <w:bCs/>
          <w:color w:val="auto"/>
        </w:rPr>
        <w:t>.</w:t>
      </w:r>
      <w:r w:rsidR="00D170B5" w:rsidRPr="00DB2927">
        <w:rPr>
          <w:b/>
          <w:bCs/>
          <w:color w:val="auto"/>
        </w:rPr>
        <w:tab/>
      </w:r>
      <w:r w:rsidR="00D170B5">
        <w:rPr>
          <w:b/>
          <w:bCs/>
          <w:color w:val="auto"/>
        </w:rPr>
        <w:t>Miscellaneous Matters</w:t>
      </w:r>
    </w:p>
    <w:bookmarkEnd w:id="0"/>
    <w:p w14:paraId="476CBED0" w14:textId="2D78C2F1" w:rsidR="00FE076C" w:rsidRPr="00854655" w:rsidRDefault="00FE076C" w:rsidP="00CB3AB6">
      <w:pPr>
        <w:tabs>
          <w:tab w:val="left" w:pos="720"/>
        </w:tabs>
        <w:spacing w:line="480" w:lineRule="auto"/>
        <w:ind w:left="720" w:hanging="720"/>
        <w:rPr>
          <w:rFonts w:cs="Times New Roman"/>
          <w:b/>
          <w:bCs/>
        </w:rPr>
      </w:pPr>
      <w:r w:rsidRPr="00854655">
        <w:rPr>
          <w:rFonts w:cs="Times New Roman"/>
          <w:b/>
          <w:bCs/>
        </w:rPr>
        <w:t>Q1</w:t>
      </w:r>
      <w:r w:rsidR="00A43C21">
        <w:rPr>
          <w:rFonts w:cs="Times New Roman"/>
          <w:b/>
          <w:bCs/>
        </w:rPr>
        <w:t>1</w:t>
      </w:r>
      <w:r w:rsidRPr="00854655">
        <w:rPr>
          <w:rFonts w:cs="Times New Roman"/>
          <w:b/>
          <w:bCs/>
        </w:rPr>
        <w:t>.</w:t>
      </w:r>
      <w:r w:rsidRPr="00854655">
        <w:rPr>
          <w:rFonts w:cs="Times New Roman"/>
          <w:b/>
          <w:bCs/>
        </w:rPr>
        <w:tab/>
        <w:t xml:space="preserve">Please explain </w:t>
      </w:r>
      <w:r w:rsidR="00EA77D6" w:rsidRPr="00854655">
        <w:rPr>
          <w:rFonts w:cs="Times New Roman"/>
          <w:b/>
          <w:bCs/>
        </w:rPr>
        <w:t>the miscellaneous items SDG&amp;E is proposing to update</w:t>
      </w:r>
    </w:p>
    <w:p w14:paraId="53593C37" w14:textId="6A18793C" w:rsidR="008E6BAF" w:rsidRPr="00854655" w:rsidRDefault="00FE076C" w:rsidP="00CB3AB6">
      <w:pPr>
        <w:spacing w:line="480" w:lineRule="auto"/>
        <w:ind w:left="720" w:hanging="720"/>
      </w:pPr>
      <w:r w:rsidRPr="00854655">
        <w:rPr>
          <w:rFonts w:cs="Times New Roman"/>
        </w:rPr>
        <w:t>A1</w:t>
      </w:r>
      <w:r w:rsidR="00682194">
        <w:rPr>
          <w:rFonts w:cs="Times New Roman"/>
        </w:rPr>
        <w:t>1</w:t>
      </w:r>
      <w:r w:rsidRPr="00854655">
        <w:rPr>
          <w:rFonts w:cs="Times New Roman"/>
        </w:rPr>
        <w:t>.</w:t>
      </w:r>
      <w:r w:rsidR="008E6BAF">
        <w:rPr>
          <w:rFonts w:cs="Times New Roman"/>
        </w:rPr>
        <w:tab/>
        <w:t xml:space="preserve"> Appendix IX</w:t>
      </w:r>
      <w:r w:rsidR="00BC2F2A">
        <w:rPr>
          <w:rFonts w:cs="Times New Roman"/>
        </w:rPr>
        <w:t xml:space="preserve">, section </w:t>
      </w:r>
      <w:r w:rsidR="008D1ADF">
        <w:rPr>
          <w:rFonts w:cs="Times New Roman"/>
        </w:rPr>
        <w:t>I.</w:t>
      </w:r>
      <w:r w:rsidR="00BC2F2A">
        <w:rPr>
          <w:rFonts w:cs="Times New Roman"/>
        </w:rPr>
        <w:t>B.</w:t>
      </w:r>
      <w:r w:rsidR="00B00F60">
        <w:rPr>
          <w:rFonts w:cs="Times New Roman"/>
        </w:rPr>
        <w:t>2</w:t>
      </w:r>
      <w:r w:rsidR="00BC2F2A">
        <w:rPr>
          <w:rFonts w:cs="Times New Roman"/>
        </w:rPr>
        <w:t xml:space="preserve"> </w:t>
      </w:r>
      <w:r w:rsidR="00A83F37">
        <w:rPr>
          <w:rFonts w:cs="Times New Roman"/>
        </w:rPr>
        <w:t xml:space="preserve">has language specific to </w:t>
      </w:r>
      <w:r w:rsidR="005F6770">
        <w:rPr>
          <w:rFonts w:cs="Times New Roman"/>
        </w:rPr>
        <w:t>a rate mitigation measure from 20</w:t>
      </w:r>
      <w:r w:rsidR="00B63D3B">
        <w:rPr>
          <w:rFonts w:cs="Times New Roman"/>
        </w:rPr>
        <w:t xml:space="preserve">03 and 2004 that is no longer relevant. SDG&amp;E is </w:t>
      </w:r>
      <w:r w:rsidR="003151BE">
        <w:rPr>
          <w:rFonts w:cs="Times New Roman"/>
        </w:rPr>
        <w:t xml:space="preserve">requesting to remove the outdated language. </w:t>
      </w:r>
    </w:p>
    <w:p w14:paraId="32C8D216" w14:textId="1CB689B6" w:rsidR="00B070F2" w:rsidRPr="00D44F42" w:rsidRDefault="00B070F2" w:rsidP="006D3F47">
      <w:pPr>
        <w:pStyle w:val="Heading1"/>
        <w:spacing w:after="240" w:line="240" w:lineRule="auto"/>
      </w:pPr>
      <w:r w:rsidRPr="00D44F42">
        <w:t>REVISIONS TO STATEMENTS</w:t>
      </w:r>
      <w:r w:rsidR="00F13268" w:rsidRPr="00D44F42">
        <w:t xml:space="preserve"> BL, BG</w:t>
      </w:r>
      <w:r w:rsidR="00F72CD9" w:rsidRPr="00D44F42">
        <w:t>,</w:t>
      </w:r>
      <w:r w:rsidR="00F13268" w:rsidRPr="00D44F42">
        <w:t xml:space="preserve"> AND BH </w:t>
      </w:r>
      <w:r w:rsidRPr="00D44F42">
        <w:t>TO REFLECT PROPOSED RATE DESIGN CHANGES</w:t>
      </w:r>
    </w:p>
    <w:p w14:paraId="5D3067D0" w14:textId="00B41C0A" w:rsidR="00B070F2" w:rsidRPr="00317E09" w:rsidRDefault="00B070F2" w:rsidP="00CB3AB6">
      <w:pPr>
        <w:pStyle w:val="BodyText"/>
      </w:pPr>
      <w:r w:rsidRPr="008B56B0">
        <w:t>Q</w:t>
      </w:r>
      <w:r w:rsidR="005C22D8" w:rsidRPr="008B56B0">
        <w:t>1</w:t>
      </w:r>
      <w:r w:rsidR="00851F9B">
        <w:t>2</w:t>
      </w:r>
      <w:r w:rsidRPr="008B56B0">
        <w:t>.</w:t>
      </w:r>
      <w:r w:rsidRPr="008B56B0">
        <w:tab/>
        <w:t>Please</w:t>
      </w:r>
      <w:r w:rsidRPr="00D44F42">
        <w:t xml:space="preserve"> describe the revisions made to Statements BL</w:t>
      </w:r>
      <w:r w:rsidR="0093383F" w:rsidRPr="00D44F42">
        <w:t xml:space="preserve">, </w:t>
      </w:r>
      <w:r w:rsidR="009A2DA4" w:rsidRPr="00D44F42">
        <w:t>B</w:t>
      </w:r>
      <w:r w:rsidR="004227B1" w:rsidRPr="00D44F42">
        <w:t>G</w:t>
      </w:r>
      <w:r w:rsidR="00F72CD9" w:rsidRPr="00D44F42">
        <w:t>,</w:t>
      </w:r>
      <w:r w:rsidR="009A2DA4" w:rsidRPr="00D44F42">
        <w:t xml:space="preserve"> </w:t>
      </w:r>
      <w:r w:rsidR="0093383F" w:rsidRPr="00D44F42">
        <w:t xml:space="preserve">and BH </w:t>
      </w:r>
      <w:r w:rsidRPr="00D44F42">
        <w:t>presented in Attachment</w:t>
      </w:r>
      <w:r w:rsidR="00CA1C61" w:rsidRPr="00D44F42">
        <w:t>s</w:t>
      </w:r>
      <w:r w:rsidRPr="00D44F42">
        <w:t xml:space="preserve"> </w:t>
      </w:r>
      <w:r w:rsidR="006D6977" w:rsidRPr="00D44F42">
        <w:t>D</w:t>
      </w:r>
      <w:r w:rsidR="00CA1C61" w:rsidRPr="00D44F42">
        <w:t xml:space="preserve"> </w:t>
      </w:r>
      <w:r w:rsidR="000862BB" w:rsidRPr="00D44F42">
        <w:t>through I</w:t>
      </w:r>
      <w:r w:rsidR="00BE07BD" w:rsidRPr="00D44F42">
        <w:t>.</w:t>
      </w:r>
    </w:p>
    <w:p w14:paraId="2AB350D9" w14:textId="75663086" w:rsidR="00A83774" w:rsidRPr="00317E09" w:rsidRDefault="00B070F2" w:rsidP="00CB3AB6">
      <w:pPr>
        <w:tabs>
          <w:tab w:val="left" w:pos="720"/>
        </w:tabs>
        <w:autoSpaceDE w:val="0"/>
        <w:autoSpaceDN w:val="0"/>
        <w:adjustRightInd w:val="0"/>
        <w:spacing w:line="480" w:lineRule="auto"/>
        <w:ind w:left="720" w:hanging="720"/>
        <w:rPr>
          <w:rFonts w:cs="Times New Roman"/>
        </w:rPr>
      </w:pPr>
      <w:r w:rsidRPr="00317E09">
        <w:rPr>
          <w:rFonts w:cs="Times New Roman"/>
          <w:bCs/>
        </w:rPr>
        <w:t>A</w:t>
      </w:r>
      <w:r w:rsidR="005C22D8" w:rsidRPr="00317E09">
        <w:rPr>
          <w:rFonts w:cs="Times New Roman"/>
          <w:bCs/>
        </w:rPr>
        <w:t>1</w:t>
      </w:r>
      <w:r w:rsidR="00851F9B">
        <w:rPr>
          <w:rFonts w:cs="Times New Roman"/>
          <w:bCs/>
        </w:rPr>
        <w:t>2</w:t>
      </w:r>
      <w:r w:rsidRPr="00317E09">
        <w:rPr>
          <w:rFonts w:cs="Times New Roman"/>
          <w:bCs/>
        </w:rPr>
        <w:t>.</w:t>
      </w:r>
      <w:r w:rsidRPr="00317E09">
        <w:rPr>
          <w:rFonts w:cs="Times New Roman"/>
          <w:bCs/>
        </w:rPr>
        <w:tab/>
        <w:t>Attachment</w:t>
      </w:r>
      <w:r w:rsidR="000862BB" w:rsidRPr="00317E09">
        <w:rPr>
          <w:rFonts w:cs="Times New Roman"/>
          <w:bCs/>
        </w:rPr>
        <w:t>s</w:t>
      </w:r>
      <w:r w:rsidRPr="00317E09">
        <w:rPr>
          <w:rFonts w:cs="Times New Roman"/>
          <w:bCs/>
        </w:rPr>
        <w:t xml:space="preserve"> </w:t>
      </w:r>
      <w:r w:rsidR="006D6977" w:rsidRPr="00317E09">
        <w:rPr>
          <w:rFonts w:cs="Times New Roman"/>
          <w:bCs/>
        </w:rPr>
        <w:t>D</w:t>
      </w:r>
      <w:r w:rsidR="000862BB" w:rsidRPr="00317E09">
        <w:rPr>
          <w:rFonts w:cs="Times New Roman"/>
          <w:bCs/>
        </w:rPr>
        <w:t xml:space="preserve">, </w:t>
      </w:r>
      <w:r w:rsidR="00CE47E2">
        <w:rPr>
          <w:rFonts w:cs="Times New Roman"/>
          <w:bCs/>
        </w:rPr>
        <w:t>F</w:t>
      </w:r>
      <w:r w:rsidR="000862BB" w:rsidRPr="00317E09">
        <w:rPr>
          <w:rFonts w:cs="Times New Roman"/>
          <w:bCs/>
        </w:rPr>
        <w:t xml:space="preserve">, and </w:t>
      </w:r>
      <w:r w:rsidR="00CE47E2">
        <w:rPr>
          <w:rFonts w:cs="Times New Roman"/>
          <w:bCs/>
        </w:rPr>
        <w:t>H</w:t>
      </w:r>
      <w:r w:rsidRPr="00317E09">
        <w:rPr>
          <w:rFonts w:cs="Times New Roman"/>
          <w:bCs/>
        </w:rPr>
        <w:t xml:space="preserve"> </w:t>
      </w:r>
      <w:r w:rsidR="008C0FE1" w:rsidRPr="00317E09">
        <w:rPr>
          <w:rFonts w:cs="Times New Roman"/>
          <w:bCs/>
        </w:rPr>
        <w:t>illustrate</w:t>
      </w:r>
      <w:r w:rsidRPr="00317E09">
        <w:rPr>
          <w:rFonts w:cs="Times New Roman"/>
          <w:bCs/>
        </w:rPr>
        <w:t xml:space="preserve"> revisions to Statement</w:t>
      </w:r>
      <w:r w:rsidR="005C22D8" w:rsidRPr="00317E09">
        <w:rPr>
          <w:rFonts w:cs="Times New Roman"/>
          <w:bCs/>
        </w:rPr>
        <w:t>s</w:t>
      </w:r>
      <w:r w:rsidRPr="00317E09">
        <w:rPr>
          <w:rFonts w:cs="Times New Roman"/>
          <w:bCs/>
        </w:rPr>
        <w:t xml:space="preserve"> BL, </w:t>
      </w:r>
      <w:r w:rsidR="005C22D8" w:rsidRPr="00317E09">
        <w:rPr>
          <w:rFonts w:cs="Times New Roman"/>
          <w:bCs/>
        </w:rPr>
        <w:t>BG</w:t>
      </w:r>
      <w:r w:rsidR="00F23C82" w:rsidRPr="00317E09">
        <w:rPr>
          <w:rFonts w:cs="Times New Roman"/>
          <w:bCs/>
        </w:rPr>
        <w:t>,</w:t>
      </w:r>
      <w:r w:rsidR="005C22D8" w:rsidRPr="00317E09">
        <w:rPr>
          <w:rFonts w:cs="Times New Roman"/>
          <w:bCs/>
        </w:rPr>
        <w:t xml:space="preserve"> and BH </w:t>
      </w:r>
      <w:r w:rsidR="003119C5" w:rsidRPr="00317E09">
        <w:rPr>
          <w:rFonts w:cs="Times New Roman"/>
          <w:bCs/>
        </w:rPr>
        <w:t>proposed</w:t>
      </w:r>
      <w:r w:rsidR="00CA1C61" w:rsidRPr="00317E09">
        <w:rPr>
          <w:rFonts w:cs="Times New Roman"/>
          <w:bCs/>
        </w:rPr>
        <w:t xml:space="preserve"> for SDG&amp;E’s 202</w:t>
      </w:r>
      <w:r w:rsidR="003119C5" w:rsidRPr="00317E09">
        <w:rPr>
          <w:rFonts w:cs="Times New Roman"/>
          <w:bCs/>
        </w:rPr>
        <w:t>7</w:t>
      </w:r>
      <w:r w:rsidR="00CA1C61" w:rsidRPr="00317E09">
        <w:rPr>
          <w:rFonts w:cs="Times New Roman"/>
          <w:bCs/>
        </w:rPr>
        <w:t xml:space="preserve"> BTRR rates in</w:t>
      </w:r>
      <w:r w:rsidR="00CA1C61" w:rsidRPr="00317E09">
        <w:rPr>
          <w:rFonts w:cs="Times New Roman"/>
        </w:rPr>
        <w:t xml:space="preserve"> Docket No. ER2</w:t>
      </w:r>
      <w:r w:rsidR="003119C5" w:rsidRPr="00317E09">
        <w:rPr>
          <w:rFonts w:cs="Times New Roman"/>
        </w:rPr>
        <w:t>7</w:t>
      </w:r>
      <w:r w:rsidR="00CA1C61" w:rsidRPr="00317E09">
        <w:rPr>
          <w:rFonts w:cs="Times New Roman"/>
        </w:rPr>
        <w:noBreakHyphen/>
      </w:r>
      <w:r w:rsidR="00155EE7" w:rsidRPr="00317E09">
        <w:rPr>
          <w:rFonts w:cs="Times New Roman"/>
        </w:rPr>
        <w:t>XXX</w:t>
      </w:r>
      <w:r w:rsidR="00CA1C61" w:rsidRPr="00317E09">
        <w:rPr>
          <w:rFonts w:cs="Times New Roman"/>
        </w:rPr>
        <w:noBreakHyphen/>
        <w:t>000, SDG&amp;E’s TO</w:t>
      </w:r>
      <w:r w:rsidR="0005678B" w:rsidRPr="00317E09">
        <w:rPr>
          <w:rFonts w:cs="Times New Roman"/>
        </w:rPr>
        <w:t>6</w:t>
      </w:r>
      <w:r w:rsidR="00CA1C61" w:rsidRPr="00317E09">
        <w:rPr>
          <w:rFonts w:cs="Times New Roman"/>
        </w:rPr>
        <w:t xml:space="preserve"> Cycle </w:t>
      </w:r>
      <w:r w:rsidR="003119C5" w:rsidRPr="00317E09">
        <w:rPr>
          <w:rFonts w:cs="Times New Roman"/>
        </w:rPr>
        <w:t>3</w:t>
      </w:r>
      <w:r w:rsidR="000862BB" w:rsidRPr="00317E09">
        <w:rPr>
          <w:rFonts w:cs="Times New Roman"/>
        </w:rPr>
        <w:t>, respectively</w:t>
      </w:r>
      <w:r w:rsidR="00CA1C61" w:rsidRPr="00317E09">
        <w:rPr>
          <w:rFonts w:cs="Times New Roman"/>
        </w:rPr>
        <w:t>. Attachment</w:t>
      </w:r>
      <w:r w:rsidR="000862BB" w:rsidRPr="00317E09">
        <w:rPr>
          <w:rFonts w:cs="Times New Roman"/>
        </w:rPr>
        <w:t>s</w:t>
      </w:r>
      <w:r w:rsidR="00CA1C61" w:rsidRPr="00317E09">
        <w:rPr>
          <w:rFonts w:cs="Times New Roman"/>
        </w:rPr>
        <w:t xml:space="preserve"> </w:t>
      </w:r>
      <w:r w:rsidR="00F97759">
        <w:rPr>
          <w:rFonts w:cs="Times New Roman"/>
        </w:rPr>
        <w:t xml:space="preserve">E, </w:t>
      </w:r>
      <w:r w:rsidR="000862BB" w:rsidRPr="00317E09">
        <w:rPr>
          <w:rFonts w:cs="Times New Roman"/>
        </w:rPr>
        <w:t>G, and I</w:t>
      </w:r>
      <w:r w:rsidR="00CA1C61" w:rsidRPr="00317E09">
        <w:rPr>
          <w:rFonts w:cs="Times New Roman"/>
        </w:rPr>
        <w:t xml:space="preserve"> </w:t>
      </w:r>
      <w:r w:rsidR="008C0FE1" w:rsidRPr="00317E09">
        <w:rPr>
          <w:rFonts w:cs="Times New Roman"/>
        </w:rPr>
        <w:t>illustrate</w:t>
      </w:r>
      <w:r w:rsidR="00CA1C61" w:rsidRPr="00317E09">
        <w:rPr>
          <w:rFonts w:cs="Times New Roman"/>
        </w:rPr>
        <w:t xml:space="preserve"> revisions to Statement</w:t>
      </w:r>
      <w:r w:rsidR="005C22D8" w:rsidRPr="00317E09">
        <w:rPr>
          <w:rFonts w:cs="Times New Roman"/>
        </w:rPr>
        <w:t>s</w:t>
      </w:r>
      <w:r w:rsidR="00CA1C61" w:rsidRPr="00317E09">
        <w:rPr>
          <w:rFonts w:cs="Times New Roman"/>
        </w:rPr>
        <w:t xml:space="preserve"> BL, </w:t>
      </w:r>
      <w:r w:rsidR="005C22D8" w:rsidRPr="00317E09">
        <w:rPr>
          <w:rFonts w:cs="Times New Roman"/>
        </w:rPr>
        <w:t>BG</w:t>
      </w:r>
      <w:r w:rsidR="00F23C82" w:rsidRPr="00317E09">
        <w:rPr>
          <w:rFonts w:cs="Times New Roman"/>
        </w:rPr>
        <w:t>,</w:t>
      </w:r>
      <w:r w:rsidR="005C22D8" w:rsidRPr="00317E09">
        <w:rPr>
          <w:rFonts w:cs="Times New Roman"/>
        </w:rPr>
        <w:t xml:space="preserve"> and BH </w:t>
      </w:r>
      <w:r w:rsidR="002762EB" w:rsidRPr="00317E09">
        <w:rPr>
          <w:rFonts w:cs="Times New Roman"/>
        </w:rPr>
        <w:t>proposed</w:t>
      </w:r>
      <w:r w:rsidR="00CA1C61" w:rsidRPr="00317E09">
        <w:rPr>
          <w:rFonts w:cs="Times New Roman"/>
        </w:rPr>
        <w:t xml:space="preserve"> for SDG&amp;E’s 202</w:t>
      </w:r>
      <w:r w:rsidR="00C76257" w:rsidRPr="00317E09">
        <w:rPr>
          <w:rFonts w:cs="Times New Roman"/>
        </w:rPr>
        <w:t>7</w:t>
      </w:r>
      <w:r w:rsidR="00CA1C61" w:rsidRPr="00317E09">
        <w:rPr>
          <w:rFonts w:cs="Times New Roman"/>
        </w:rPr>
        <w:t xml:space="preserve"> RS rates </w:t>
      </w:r>
      <w:r w:rsidR="00C76257" w:rsidRPr="00317E09">
        <w:rPr>
          <w:rFonts w:cs="Times New Roman"/>
        </w:rPr>
        <w:t xml:space="preserve">to be filed </w:t>
      </w:r>
      <w:r w:rsidR="00F23C82" w:rsidRPr="00317E09">
        <w:rPr>
          <w:rFonts w:cs="Times New Roman"/>
        </w:rPr>
        <w:t xml:space="preserve">in </w:t>
      </w:r>
      <w:r w:rsidR="00CA1C61" w:rsidRPr="00317E09">
        <w:rPr>
          <w:rFonts w:cs="Times New Roman"/>
        </w:rPr>
        <w:t>Docket No. ER2</w:t>
      </w:r>
      <w:r w:rsidR="00C76257" w:rsidRPr="00317E09">
        <w:rPr>
          <w:rFonts w:cs="Times New Roman"/>
        </w:rPr>
        <w:t>7</w:t>
      </w:r>
      <w:r w:rsidR="00CA1C61" w:rsidRPr="00317E09">
        <w:rPr>
          <w:rFonts w:cs="Times New Roman"/>
        </w:rPr>
        <w:noBreakHyphen/>
      </w:r>
      <w:r w:rsidR="00C76257" w:rsidRPr="00317E09">
        <w:rPr>
          <w:rFonts w:cs="Times New Roman"/>
        </w:rPr>
        <w:t>XXX</w:t>
      </w:r>
      <w:r w:rsidR="00CA1C61" w:rsidRPr="00317E09">
        <w:rPr>
          <w:rFonts w:cs="Times New Roman"/>
        </w:rPr>
        <w:noBreakHyphen/>
        <w:t>000</w:t>
      </w:r>
      <w:r w:rsidR="000862BB" w:rsidRPr="00317E09">
        <w:rPr>
          <w:rFonts w:cs="Times New Roman"/>
        </w:rPr>
        <w:t>, respectively</w:t>
      </w:r>
      <w:r w:rsidR="00CA1C61" w:rsidRPr="00317E09">
        <w:rPr>
          <w:rFonts w:cs="Times New Roman"/>
        </w:rPr>
        <w:t>.</w:t>
      </w:r>
      <w:r w:rsidR="00A83774" w:rsidRPr="00317E09">
        <w:rPr>
          <w:rFonts w:cs="Times New Roman"/>
        </w:rPr>
        <w:t xml:space="preserve"> These Statements have been revised to reflect the changes proposed in this </w:t>
      </w:r>
      <w:r w:rsidR="008C0FE1" w:rsidRPr="00317E09">
        <w:rPr>
          <w:rFonts w:cs="Times New Roman"/>
        </w:rPr>
        <w:t>filing</w:t>
      </w:r>
      <w:r w:rsidR="003C757C">
        <w:rPr>
          <w:rFonts w:cs="Times New Roman"/>
        </w:rPr>
        <w:t>, as described above</w:t>
      </w:r>
      <w:r w:rsidR="00AA60CB">
        <w:rPr>
          <w:rFonts w:cs="Times New Roman"/>
        </w:rPr>
        <w:t>, namely</w:t>
      </w:r>
      <w:r w:rsidR="00A83774" w:rsidRPr="00317E09">
        <w:rPr>
          <w:rFonts w:cs="Times New Roman"/>
        </w:rPr>
        <w:t xml:space="preserve">: (a) </w:t>
      </w:r>
      <w:r w:rsidR="00155EE7" w:rsidRPr="00317E09">
        <w:rPr>
          <w:rFonts w:cs="Times New Roman"/>
        </w:rPr>
        <w:t>split the Medium</w:t>
      </w:r>
      <w:r w:rsidR="001F5E7F">
        <w:rPr>
          <w:rFonts w:cs="Times New Roman"/>
        </w:rPr>
        <w:t xml:space="preserve"> &amp; </w:t>
      </w:r>
      <w:r w:rsidR="00155EE7" w:rsidRPr="00317E09">
        <w:rPr>
          <w:rFonts w:cs="Times New Roman"/>
        </w:rPr>
        <w:t>Large C</w:t>
      </w:r>
      <w:r w:rsidR="001F5E7F">
        <w:rPr>
          <w:rFonts w:cs="Times New Roman"/>
        </w:rPr>
        <w:t>/</w:t>
      </w:r>
      <w:r w:rsidR="00155EE7" w:rsidRPr="00317E09">
        <w:rPr>
          <w:rFonts w:cs="Times New Roman"/>
        </w:rPr>
        <w:t>I class into separate and distinct Medium Commercial and Large C&amp;I classes</w:t>
      </w:r>
      <w:r w:rsidR="00A83774" w:rsidRPr="00317E09">
        <w:rPr>
          <w:rFonts w:cs="Times New Roman"/>
        </w:rPr>
        <w:t xml:space="preserve">; </w:t>
      </w:r>
      <w:r w:rsidR="00155EE7" w:rsidRPr="00317E09">
        <w:rPr>
          <w:rFonts w:cs="Times New Roman"/>
        </w:rPr>
        <w:t>and (</w:t>
      </w:r>
      <w:r w:rsidR="007323C4">
        <w:rPr>
          <w:rFonts w:cs="Times New Roman"/>
        </w:rPr>
        <w:t>b</w:t>
      </w:r>
      <w:r w:rsidR="00155EE7" w:rsidRPr="00317E09">
        <w:rPr>
          <w:rFonts w:cs="Times New Roman"/>
        </w:rPr>
        <w:t xml:space="preserve">) update the policy where if forecasted sales or </w:t>
      </w:r>
      <w:r w:rsidR="004F7902" w:rsidRPr="00317E09">
        <w:rPr>
          <w:rFonts w:cs="Times New Roman"/>
        </w:rPr>
        <w:t xml:space="preserve">other determinants utilized in rate making are zero due to a lack of historical record, </w:t>
      </w:r>
      <w:r w:rsidR="003C757C">
        <w:rPr>
          <w:rFonts w:cs="Times New Roman"/>
        </w:rPr>
        <w:t xml:space="preserve">then </w:t>
      </w:r>
      <w:r w:rsidR="004F7902" w:rsidRPr="00317E09">
        <w:rPr>
          <w:rFonts w:cs="Times New Roman"/>
        </w:rPr>
        <w:t>the current values will be used as a proxy until updated values are available</w:t>
      </w:r>
      <w:r w:rsidR="00747370" w:rsidRPr="00317E09">
        <w:rPr>
          <w:rFonts w:cs="Times New Roman"/>
        </w:rPr>
        <w:t xml:space="preserve">.  </w:t>
      </w:r>
    </w:p>
    <w:p w14:paraId="44E959D0" w14:textId="0AEBBF94" w:rsidR="00B070F2" w:rsidRPr="00317E09" w:rsidRDefault="00B070F2" w:rsidP="00CB3AB6">
      <w:pPr>
        <w:tabs>
          <w:tab w:val="left" w:pos="720"/>
        </w:tabs>
        <w:spacing w:line="480" w:lineRule="auto"/>
        <w:ind w:left="720" w:hanging="720"/>
        <w:rPr>
          <w:rFonts w:cs="Times New Roman"/>
          <w:b/>
          <w:bCs/>
        </w:rPr>
      </w:pPr>
      <w:r w:rsidRPr="00317E09">
        <w:rPr>
          <w:rFonts w:cs="Times New Roman"/>
          <w:b/>
          <w:bCs/>
        </w:rPr>
        <w:t>Q</w:t>
      </w:r>
      <w:r w:rsidR="0005566A" w:rsidRPr="00317E09">
        <w:rPr>
          <w:rFonts w:cs="Times New Roman"/>
          <w:b/>
          <w:bCs/>
        </w:rPr>
        <w:t>1</w:t>
      </w:r>
      <w:r w:rsidR="004527C7">
        <w:rPr>
          <w:rFonts w:cs="Times New Roman"/>
          <w:b/>
          <w:bCs/>
        </w:rPr>
        <w:t>3</w:t>
      </w:r>
      <w:r w:rsidRPr="00317E09">
        <w:rPr>
          <w:rFonts w:cs="Times New Roman"/>
          <w:b/>
          <w:bCs/>
        </w:rPr>
        <w:t>.</w:t>
      </w:r>
      <w:r w:rsidRPr="00317E09">
        <w:rPr>
          <w:rFonts w:cs="Times New Roman"/>
          <w:b/>
          <w:bCs/>
        </w:rPr>
        <w:tab/>
        <w:t xml:space="preserve">Please describe the </w:t>
      </w:r>
      <w:r w:rsidR="007344B5" w:rsidRPr="00317E09">
        <w:rPr>
          <w:rFonts w:cs="Times New Roman"/>
          <w:b/>
          <w:bCs/>
        </w:rPr>
        <w:t xml:space="preserve">revisions to </w:t>
      </w:r>
      <w:r w:rsidRPr="00317E09">
        <w:rPr>
          <w:rFonts w:cs="Times New Roman"/>
          <w:b/>
          <w:bCs/>
        </w:rPr>
        <w:t xml:space="preserve">Statement BL </w:t>
      </w:r>
      <w:r w:rsidR="007344B5" w:rsidRPr="00317E09">
        <w:rPr>
          <w:rFonts w:cs="Times New Roman"/>
          <w:b/>
          <w:bCs/>
        </w:rPr>
        <w:t xml:space="preserve">presented in Attachment D for BTRR rates and Attachment </w:t>
      </w:r>
      <w:r w:rsidR="00933E0D">
        <w:rPr>
          <w:rFonts w:cs="Times New Roman"/>
          <w:b/>
          <w:bCs/>
        </w:rPr>
        <w:t>E</w:t>
      </w:r>
      <w:r w:rsidR="007344B5" w:rsidRPr="00317E09">
        <w:rPr>
          <w:rFonts w:cs="Times New Roman"/>
          <w:b/>
          <w:bCs/>
        </w:rPr>
        <w:t xml:space="preserve"> for RS rates</w:t>
      </w:r>
      <w:r w:rsidRPr="00317E09">
        <w:rPr>
          <w:rFonts w:cs="Times New Roman"/>
          <w:b/>
          <w:bCs/>
        </w:rPr>
        <w:t>.</w:t>
      </w:r>
    </w:p>
    <w:p w14:paraId="1A11B32F" w14:textId="6F8E5962" w:rsidR="008C0FE1" w:rsidRPr="00317E09" w:rsidRDefault="00B070F2" w:rsidP="00CB3AB6">
      <w:pPr>
        <w:tabs>
          <w:tab w:val="left" w:pos="720"/>
        </w:tabs>
        <w:autoSpaceDE w:val="0"/>
        <w:autoSpaceDN w:val="0"/>
        <w:adjustRightInd w:val="0"/>
        <w:spacing w:line="480" w:lineRule="auto"/>
        <w:ind w:left="720" w:hanging="720"/>
        <w:rPr>
          <w:rFonts w:cs="Times New Roman"/>
        </w:rPr>
      </w:pPr>
      <w:r w:rsidRPr="00317E09">
        <w:rPr>
          <w:rFonts w:cs="Times New Roman"/>
          <w:bCs/>
        </w:rPr>
        <w:t>A</w:t>
      </w:r>
      <w:r w:rsidR="0005566A" w:rsidRPr="00317E09">
        <w:rPr>
          <w:rFonts w:cs="Times New Roman"/>
          <w:bCs/>
        </w:rPr>
        <w:t>1</w:t>
      </w:r>
      <w:r w:rsidR="004527C7">
        <w:rPr>
          <w:rFonts w:cs="Times New Roman"/>
          <w:bCs/>
        </w:rPr>
        <w:t>3</w:t>
      </w:r>
      <w:r w:rsidRPr="00317E09">
        <w:rPr>
          <w:rFonts w:cs="Times New Roman"/>
          <w:bCs/>
        </w:rPr>
        <w:t>.</w:t>
      </w:r>
      <w:r w:rsidRPr="00317E09">
        <w:rPr>
          <w:rFonts w:cs="Times New Roman"/>
          <w:bCs/>
        </w:rPr>
        <w:tab/>
      </w:r>
      <w:r w:rsidR="007344B5" w:rsidRPr="00317E09">
        <w:rPr>
          <w:rFonts w:cs="Times New Roman"/>
          <w:bCs/>
        </w:rPr>
        <w:t xml:space="preserve">Statement </w:t>
      </w:r>
      <w:r w:rsidR="00800090" w:rsidRPr="00317E09">
        <w:rPr>
          <w:rFonts w:cs="Times New Roman"/>
          <w:bCs/>
        </w:rPr>
        <w:t xml:space="preserve">BL </w:t>
      </w:r>
      <w:r w:rsidR="00747370" w:rsidRPr="00317E09">
        <w:rPr>
          <w:rFonts w:cs="Times New Roman"/>
          <w:bCs/>
        </w:rPr>
        <w:t xml:space="preserve">identifies </w:t>
      </w:r>
      <w:r w:rsidR="003956EA" w:rsidRPr="00317E09">
        <w:rPr>
          <w:rFonts w:cs="Times New Roman"/>
          <w:bCs/>
        </w:rPr>
        <w:t xml:space="preserve">the </w:t>
      </w:r>
      <w:r w:rsidR="00747370" w:rsidRPr="00317E09">
        <w:rPr>
          <w:rFonts w:cs="Times New Roman"/>
          <w:bCs/>
        </w:rPr>
        <w:t>BTRR and RS rates</w:t>
      </w:r>
      <w:r w:rsidR="00860731" w:rsidRPr="00317E09">
        <w:rPr>
          <w:rFonts w:cs="Times New Roman"/>
          <w:bCs/>
        </w:rPr>
        <w:t xml:space="preserve"> </w:t>
      </w:r>
      <w:r w:rsidR="008C0FE1" w:rsidRPr="00317E09">
        <w:rPr>
          <w:rFonts w:cs="Times New Roman"/>
          <w:bCs/>
        </w:rPr>
        <w:t>resulting from</w:t>
      </w:r>
      <w:r w:rsidR="00860731" w:rsidRPr="00317E09">
        <w:rPr>
          <w:rFonts w:cs="Times New Roman"/>
          <w:bCs/>
        </w:rPr>
        <w:t xml:space="preserve"> rate design proposals described above</w:t>
      </w:r>
      <w:r w:rsidR="00747370" w:rsidRPr="00317E09">
        <w:rPr>
          <w:rFonts w:cs="Times New Roman"/>
          <w:bCs/>
        </w:rPr>
        <w:t>.</w:t>
      </w:r>
      <w:r w:rsidR="00747370" w:rsidRPr="00317E09" w:rsidDel="00AA60CB">
        <w:rPr>
          <w:rFonts w:cs="Times New Roman"/>
          <w:bCs/>
        </w:rPr>
        <w:t xml:space="preserve"> </w:t>
      </w:r>
      <w:r w:rsidR="00747370" w:rsidRPr="00317E09">
        <w:rPr>
          <w:rFonts w:cs="Times New Roman"/>
          <w:bCs/>
        </w:rPr>
        <w:t xml:space="preserve">The revised Statement BL provided </w:t>
      </w:r>
      <w:r w:rsidR="006A6A09" w:rsidRPr="00317E09">
        <w:rPr>
          <w:rFonts w:cs="Times New Roman"/>
          <w:bCs/>
        </w:rPr>
        <w:t>in Attachment</w:t>
      </w:r>
      <w:r w:rsidR="00F44065" w:rsidRPr="00317E09">
        <w:rPr>
          <w:rFonts w:cs="Times New Roman"/>
          <w:bCs/>
        </w:rPr>
        <w:t>s</w:t>
      </w:r>
      <w:r w:rsidR="006A6A09" w:rsidRPr="00317E09">
        <w:rPr>
          <w:rFonts w:cs="Times New Roman"/>
          <w:bCs/>
        </w:rPr>
        <w:t xml:space="preserve"> D and </w:t>
      </w:r>
      <w:r w:rsidR="00933E0D">
        <w:rPr>
          <w:rFonts w:cs="Times New Roman"/>
          <w:bCs/>
        </w:rPr>
        <w:t>E</w:t>
      </w:r>
      <w:r w:rsidR="006A6A09" w:rsidRPr="00317E09">
        <w:rPr>
          <w:rFonts w:cs="Times New Roman"/>
          <w:bCs/>
        </w:rPr>
        <w:t xml:space="preserve"> </w:t>
      </w:r>
      <w:r w:rsidR="007F4E6D" w:rsidRPr="00317E09">
        <w:rPr>
          <w:rFonts w:cs="Times New Roman"/>
          <w:bCs/>
        </w:rPr>
        <w:t xml:space="preserve">present the development of the </w:t>
      </w:r>
      <w:r w:rsidR="00FF31A3" w:rsidRPr="00317E09">
        <w:rPr>
          <w:rFonts w:cs="Times New Roman"/>
          <w:bCs/>
        </w:rPr>
        <w:t xml:space="preserve">proposed </w:t>
      </w:r>
      <w:r w:rsidR="004F7902" w:rsidRPr="00317E09">
        <w:rPr>
          <w:rFonts w:cs="Times New Roman"/>
          <w:bCs/>
        </w:rPr>
        <w:t xml:space="preserve">separated </w:t>
      </w:r>
      <w:r w:rsidR="00155EE7" w:rsidRPr="00317E09">
        <w:rPr>
          <w:rFonts w:cs="Times New Roman"/>
          <w:bCs/>
        </w:rPr>
        <w:t>Medium Commercial and Large C&amp;I</w:t>
      </w:r>
      <w:r w:rsidR="00977B20" w:rsidRPr="00317E09">
        <w:rPr>
          <w:rFonts w:cs="Times New Roman"/>
          <w:bCs/>
        </w:rPr>
        <w:t>-specific</w:t>
      </w:r>
      <w:r w:rsidR="007F4E6D" w:rsidRPr="00317E09">
        <w:rPr>
          <w:rFonts w:cs="Times New Roman"/>
          <w:bCs/>
        </w:rPr>
        <w:t xml:space="preserve"> </w:t>
      </w:r>
      <w:r w:rsidR="007F4E6D" w:rsidRPr="00317E09">
        <w:rPr>
          <w:rFonts w:cs="Times New Roman"/>
          <w:bCs/>
        </w:rPr>
        <w:lastRenderedPageBreak/>
        <w:t xml:space="preserve">BTRR </w:t>
      </w:r>
      <w:r w:rsidR="003956EA" w:rsidRPr="00317E09">
        <w:rPr>
          <w:rFonts w:cs="Times New Roman"/>
          <w:bCs/>
        </w:rPr>
        <w:t xml:space="preserve">and RS </w:t>
      </w:r>
      <w:r w:rsidR="007F4E6D" w:rsidRPr="00317E09">
        <w:rPr>
          <w:rFonts w:cs="Times New Roman"/>
          <w:bCs/>
        </w:rPr>
        <w:t>rates</w:t>
      </w:r>
      <w:r w:rsidR="0040376E" w:rsidRPr="00317E09">
        <w:rPr>
          <w:rFonts w:cs="Times New Roman"/>
          <w:bCs/>
        </w:rPr>
        <w:t>, respectively</w:t>
      </w:r>
      <w:r w:rsidR="00F44065" w:rsidRPr="00317E09">
        <w:rPr>
          <w:rFonts w:cs="Times New Roman"/>
        </w:rPr>
        <w:t xml:space="preserve">. </w:t>
      </w:r>
      <w:r w:rsidR="003956EA" w:rsidRPr="00317E09">
        <w:rPr>
          <w:rFonts w:cs="Times New Roman"/>
        </w:rPr>
        <w:t xml:space="preserve">Page BL-1 of the revised </w:t>
      </w:r>
      <w:r w:rsidR="00F44065" w:rsidRPr="00317E09">
        <w:rPr>
          <w:rFonts w:cs="Times New Roman"/>
        </w:rPr>
        <w:t>Statement BL in Attachment D presents the changed 202</w:t>
      </w:r>
      <w:r w:rsidR="004F6E0C" w:rsidRPr="00317E09">
        <w:rPr>
          <w:rFonts w:cs="Times New Roman"/>
        </w:rPr>
        <w:t>7</w:t>
      </w:r>
      <w:r w:rsidR="00F44065" w:rsidRPr="00317E09">
        <w:rPr>
          <w:rFonts w:cs="Times New Roman"/>
        </w:rPr>
        <w:t xml:space="preserve"> BTRR rates.  </w:t>
      </w:r>
    </w:p>
    <w:p w14:paraId="19BF2A53" w14:textId="74C02548" w:rsidR="00FA3CF2" w:rsidRPr="00317E09" w:rsidRDefault="003956EA" w:rsidP="00CB3AB6">
      <w:pPr>
        <w:pStyle w:val="BodyText3"/>
        <w:rPr>
          <w:bCs/>
          <w:color w:val="auto"/>
        </w:rPr>
      </w:pPr>
      <w:r w:rsidRPr="00317E09">
        <w:rPr>
          <w:color w:val="auto"/>
        </w:rPr>
        <w:t xml:space="preserve">Page BL-1 of the revised </w:t>
      </w:r>
      <w:r w:rsidR="00F44065" w:rsidRPr="00317E09">
        <w:rPr>
          <w:color w:val="auto"/>
        </w:rPr>
        <w:t xml:space="preserve">Statement BL in Attachment </w:t>
      </w:r>
      <w:r w:rsidR="009717B6">
        <w:rPr>
          <w:color w:val="auto"/>
        </w:rPr>
        <w:t>E</w:t>
      </w:r>
      <w:r w:rsidR="00F44065" w:rsidRPr="00317E09">
        <w:rPr>
          <w:color w:val="auto"/>
        </w:rPr>
        <w:t xml:space="preserve"> </w:t>
      </w:r>
      <w:r w:rsidR="00FF31A3" w:rsidRPr="00317E09">
        <w:rPr>
          <w:color w:val="auto"/>
        </w:rPr>
        <w:t xml:space="preserve">presents </w:t>
      </w:r>
      <w:r w:rsidR="004F6E0C" w:rsidRPr="00317E09">
        <w:rPr>
          <w:color w:val="auto"/>
        </w:rPr>
        <w:t xml:space="preserve">illustrative </w:t>
      </w:r>
      <w:r w:rsidR="00F44065" w:rsidRPr="00317E09">
        <w:rPr>
          <w:color w:val="auto"/>
        </w:rPr>
        <w:t>202</w:t>
      </w:r>
      <w:r w:rsidR="004F6E0C" w:rsidRPr="00317E09">
        <w:rPr>
          <w:color w:val="auto"/>
        </w:rPr>
        <w:t>7</w:t>
      </w:r>
      <w:r w:rsidR="00F44065" w:rsidRPr="00317E09">
        <w:rPr>
          <w:color w:val="auto"/>
        </w:rPr>
        <w:t xml:space="preserve"> RS rates</w:t>
      </w:r>
      <w:r w:rsidR="004F6E0C" w:rsidRPr="00317E09">
        <w:rPr>
          <w:color w:val="auto"/>
        </w:rPr>
        <w:t xml:space="preserve"> since the 2027 RSBA balance is not available</w:t>
      </w:r>
      <w:r w:rsidR="00F44065" w:rsidRPr="00317E09">
        <w:rPr>
          <w:color w:val="auto"/>
        </w:rPr>
        <w:t xml:space="preserve">. </w:t>
      </w:r>
      <w:r w:rsidR="004F6E0C" w:rsidRPr="00317E09">
        <w:rPr>
          <w:color w:val="auto"/>
        </w:rPr>
        <w:t>To create the illustrative 2027 RS rates, SDG&amp;E updated Statements BL, BG, and BH with the 2027 sales and demand determinants but kept the RS revenue requirement equal to 2026</w:t>
      </w:r>
      <w:r w:rsidR="0024491B" w:rsidRPr="00317E09">
        <w:rPr>
          <w:color w:val="auto"/>
        </w:rPr>
        <w:t>.</w:t>
      </w:r>
      <w:r w:rsidR="00F44065" w:rsidRPr="00317E09">
        <w:rPr>
          <w:color w:val="auto"/>
        </w:rPr>
        <w:t xml:space="preserve">    </w:t>
      </w:r>
      <w:r w:rsidR="007F4E6D" w:rsidRPr="00317E09">
        <w:rPr>
          <w:color w:val="auto"/>
        </w:rPr>
        <w:t xml:space="preserve">  </w:t>
      </w:r>
    </w:p>
    <w:p w14:paraId="0A5BF236" w14:textId="308355E7" w:rsidR="00B070F2" w:rsidRPr="00317E09" w:rsidRDefault="00B070F2" w:rsidP="00CB3AB6">
      <w:pPr>
        <w:tabs>
          <w:tab w:val="left" w:pos="720"/>
        </w:tabs>
        <w:spacing w:line="480" w:lineRule="auto"/>
        <w:ind w:left="720" w:hanging="720"/>
        <w:rPr>
          <w:rFonts w:cs="Times New Roman"/>
          <w:b/>
          <w:bCs/>
        </w:rPr>
      </w:pPr>
      <w:r w:rsidRPr="00317E09">
        <w:rPr>
          <w:rFonts w:cs="Times New Roman"/>
          <w:b/>
          <w:bCs/>
        </w:rPr>
        <w:t>Q</w:t>
      </w:r>
      <w:r w:rsidR="0005566A" w:rsidRPr="00317E09">
        <w:rPr>
          <w:rFonts w:cs="Times New Roman"/>
          <w:b/>
          <w:bCs/>
        </w:rPr>
        <w:t>1</w:t>
      </w:r>
      <w:r w:rsidR="004527C7">
        <w:rPr>
          <w:rFonts w:cs="Times New Roman"/>
          <w:b/>
          <w:bCs/>
        </w:rPr>
        <w:t>4</w:t>
      </w:r>
      <w:r w:rsidR="000C6900" w:rsidRPr="00317E09">
        <w:rPr>
          <w:rFonts w:cs="Times New Roman"/>
          <w:b/>
          <w:bCs/>
        </w:rPr>
        <w:t>.</w:t>
      </w:r>
      <w:r w:rsidRPr="00317E09">
        <w:rPr>
          <w:rFonts w:cs="Times New Roman"/>
          <w:b/>
          <w:bCs/>
        </w:rPr>
        <w:tab/>
      </w:r>
      <w:r w:rsidR="0024491B" w:rsidRPr="00317E09">
        <w:rPr>
          <w:rFonts w:cs="Times New Roman"/>
          <w:b/>
          <w:bCs/>
        </w:rPr>
        <w:t xml:space="preserve">Please describe the revisions to Statement BG presented in Attachment </w:t>
      </w:r>
      <w:r w:rsidR="001636CB">
        <w:rPr>
          <w:rFonts w:cs="Times New Roman"/>
          <w:b/>
          <w:bCs/>
        </w:rPr>
        <w:t>F</w:t>
      </w:r>
      <w:r w:rsidR="0024491B" w:rsidRPr="00317E09">
        <w:rPr>
          <w:rFonts w:cs="Times New Roman"/>
          <w:b/>
          <w:bCs/>
        </w:rPr>
        <w:t xml:space="preserve"> for BTRR rates and Attachment </w:t>
      </w:r>
      <w:r w:rsidR="00EC1328">
        <w:rPr>
          <w:rFonts w:cs="Times New Roman"/>
          <w:b/>
          <w:bCs/>
        </w:rPr>
        <w:t>G</w:t>
      </w:r>
      <w:r w:rsidR="0024491B" w:rsidRPr="00317E09">
        <w:rPr>
          <w:rFonts w:cs="Times New Roman"/>
          <w:b/>
          <w:bCs/>
        </w:rPr>
        <w:t xml:space="preserve"> for RS rates.</w:t>
      </w:r>
    </w:p>
    <w:p w14:paraId="1E52B5E1" w14:textId="2B3351D7" w:rsidR="008C0FE1" w:rsidRPr="00317E09" w:rsidRDefault="00B070F2" w:rsidP="00CB3AB6">
      <w:pPr>
        <w:tabs>
          <w:tab w:val="left" w:pos="720"/>
        </w:tabs>
        <w:autoSpaceDE w:val="0"/>
        <w:autoSpaceDN w:val="0"/>
        <w:adjustRightInd w:val="0"/>
        <w:spacing w:line="480" w:lineRule="auto"/>
        <w:ind w:left="720" w:hanging="720"/>
        <w:rPr>
          <w:rFonts w:cs="Times New Roman"/>
        </w:rPr>
      </w:pPr>
      <w:r w:rsidRPr="00317E09">
        <w:rPr>
          <w:rFonts w:cs="Times New Roman"/>
          <w:bCs/>
        </w:rPr>
        <w:t>A</w:t>
      </w:r>
      <w:r w:rsidR="0005566A" w:rsidRPr="00317E09">
        <w:rPr>
          <w:rFonts w:cs="Times New Roman"/>
          <w:bCs/>
        </w:rPr>
        <w:t>1</w:t>
      </w:r>
      <w:r w:rsidR="004527C7">
        <w:rPr>
          <w:rFonts w:cs="Times New Roman"/>
          <w:bCs/>
        </w:rPr>
        <w:t>4</w:t>
      </w:r>
      <w:r w:rsidRPr="00317E09">
        <w:rPr>
          <w:rFonts w:cs="Times New Roman"/>
          <w:bCs/>
        </w:rPr>
        <w:t>.</w:t>
      </w:r>
      <w:r w:rsidRPr="00317E09">
        <w:rPr>
          <w:rFonts w:cs="Times New Roman"/>
          <w:bCs/>
        </w:rPr>
        <w:tab/>
      </w:r>
      <w:r w:rsidR="0024491B" w:rsidRPr="00317E09">
        <w:rPr>
          <w:rFonts w:cs="Times New Roman"/>
          <w:bCs/>
        </w:rPr>
        <w:t>Statement BG presents the comparison between the revenues forecasted to be collected by customer class based on current 202</w:t>
      </w:r>
      <w:r w:rsidR="004F6E0C" w:rsidRPr="00317E09">
        <w:rPr>
          <w:rFonts w:cs="Times New Roman"/>
          <w:bCs/>
        </w:rPr>
        <w:t>6</w:t>
      </w:r>
      <w:r w:rsidR="0024491B" w:rsidRPr="00317E09">
        <w:rPr>
          <w:rFonts w:cs="Times New Roman"/>
          <w:bCs/>
        </w:rPr>
        <w:t xml:space="preserve"> BTRR and RS rates compared to the revenues forecasted to be collected by customer class based on the changed 202</w:t>
      </w:r>
      <w:r w:rsidR="004F6E0C" w:rsidRPr="00317E09">
        <w:rPr>
          <w:rFonts w:cs="Times New Roman"/>
          <w:bCs/>
        </w:rPr>
        <w:t>7</w:t>
      </w:r>
      <w:r w:rsidR="0024491B" w:rsidRPr="00317E09">
        <w:rPr>
          <w:rFonts w:cs="Times New Roman"/>
          <w:bCs/>
        </w:rPr>
        <w:t xml:space="preserve"> BTRR and RS rates</w:t>
      </w:r>
      <w:r w:rsidR="00860731" w:rsidRPr="00317E09">
        <w:rPr>
          <w:rFonts w:cs="Times New Roman"/>
          <w:bCs/>
        </w:rPr>
        <w:t xml:space="preserve"> due to the rate design proposals described</w:t>
      </w:r>
      <w:r w:rsidR="003C73DC" w:rsidRPr="00317E09">
        <w:rPr>
          <w:rFonts w:cs="Times New Roman"/>
          <w:bCs/>
        </w:rPr>
        <w:t xml:space="preserve"> above</w:t>
      </w:r>
      <w:r w:rsidR="0024491B" w:rsidRPr="00317E09">
        <w:rPr>
          <w:rFonts w:cs="Times New Roman"/>
          <w:bCs/>
        </w:rPr>
        <w:t xml:space="preserve">. </w:t>
      </w:r>
      <w:r w:rsidR="00FF31A3" w:rsidRPr="00317E09">
        <w:rPr>
          <w:rFonts w:cs="Times New Roman"/>
          <w:bCs/>
        </w:rPr>
        <w:t xml:space="preserve">Page BG-1 of the revised </w:t>
      </w:r>
      <w:r w:rsidR="000862BB" w:rsidRPr="00317E09">
        <w:rPr>
          <w:rFonts w:cs="Times New Roman"/>
          <w:bCs/>
        </w:rPr>
        <w:t xml:space="preserve">Statement BG </w:t>
      </w:r>
      <w:r w:rsidR="00DC12AC" w:rsidRPr="00317E09">
        <w:rPr>
          <w:rFonts w:cs="Times New Roman"/>
          <w:bCs/>
        </w:rPr>
        <w:t xml:space="preserve">in Attachment </w:t>
      </w:r>
      <w:r w:rsidR="00EC1328">
        <w:rPr>
          <w:rFonts w:cs="Times New Roman"/>
          <w:bCs/>
        </w:rPr>
        <w:t>F</w:t>
      </w:r>
      <w:r w:rsidR="00DC12AC" w:rsidRPr="00317E09">
        <w:rPr>
          <w:rFonts w:cs="Times New Roman"/>
          <w:bCs/>
        </w:rPr>
        <w:t xml:space="preserve"> </w:t>
      </w:r>
      <w:r w:rsidR="00FF31A3" w:rsidRPr="00317E09">
        <w:rPr>
          <w:rFonts w:cs="Times New Roman"/>
          <w:bCs/>
        </w:rPr>
        <w:t>presents class revenues under current 202</w:t>
      </w:r>
      <w:r w:rsidR="003D79C0" w:rsidRPr="00317E09">
        <w:rPr>
          <w:rFonts w:cs="Times New Roman"/>
          <w:bCs/>
        </w:rPr>
        <w:t>7</w:t>
      </w:r>
      <w:r w:rsidR="00FF31A3" w:rsidRPr="00317E09">
        <w:rPr>
          <w:rFonts w:cs="Times New Roman"/>
          <w:bCs/>
        </w:rPr>
        <w:t xml:space="preserve"> BTRR rates </w:t>
      </w:r>
      <w:r w:rsidR="003D79C0" w:rsidRPr="00317E09">
        <w:rPr>
          <w:rFonts w:cs="Times New Roman"/>
          <w:bCs/>
        </w:rPr>
        <w:t>proposed</w:t>
      </w:r>
      <w:r w:rsidR="00FF31A3" w:rsidRPr="00317E09">
        <w:rPr>
          <w:rFonts w:cs="Times New Roman"/>
          <w:bCs/>
        </w:rPr>
        <w:t xml:space="preserve"> in </w:t>
      </w:r>
      <w:r w:rsidR="00FF31A3" w:rsidRPr="00317E09">
        <w:rPr>
          <w:rFonts w:cs="Times New Roman"/>
        </w:rPr>
        <w:t>Docket No. ER2</w:t>
      </w:r>
      <w:r w:rsidR="003D79C0" w:rsidRPr="00317E09">
        <w:rPr>
          <w:rFonts w:cs="Times New Roman"/>
        </w:rPr>
        <w:t>7</w:t>
      </w:r>
      <w:r w:rsidR="00FF31A3" w:rsidRPr="00317E09">
        <w:rPr>
          <w:rFonts w:cs="Times New Roman"/>
        </w:rPr>
        <w:noBreakHyphen/>
      </w:r>
      <w:r w:rsidR="003D79C0" w:rsidRPr="00317E09">
        <w:rPr>
          <w:rFonts w:cs="Times New Roman"/>
        </w:rPr>
        <w:t>XXX</w:t>
      </w:r>
      <w:r w:rsidR="00FF31A3" w:rsidRPr="00317E09">
        <w:rPr>
          <w:rFonts w:cs="Times New Roman"/>
        </w:rPr>
        <w:noBreakHyphen/>
        <w:t>000</w:t>
      </w:r>
      <w:r w:rsidR="00FF31A3" w:rsidRPr="00317E09">
        <w:rPr>
          <w:rFonts w:cs="Times New Roman"/>
          <w:bCs/>
        </w:rPr>
        <w:t xml:space="preserve"> compared to </w:t>
      </w:r>
      <w:r w:rsidR="003D79C0" w:rsidRPr="00317E09">
        <w:rPr>
          <w:rFonts w:cs="Times New Roman"/>
          <w:bCs/>
        </w:rPr>
        <w:t xml:space="preserve">proposed </w:t>
      </w:r>
      <w:r w:rsidR="00FF31A3" w:rsidRPr="00317E09">
        <w:rPr>
          <w:rFonts w:cs="Times New Roman"/>
          <w:bCs/>
        </w:rPr>
        <w:t xml:space="preserve">revenues </w:t>
      </w:r>
      <w:r w:rsidR="003D79C0" w:rsidRPr="00317E09">
        <w:rPr>
          <w:rFonts w:cs="Times New Roman"/>
          <w:bCs/>
        </w:rPr>
        <w:t xml:space="preserve">for </w:t>
      </w:r>
      <w:r w:rsidR="00FF31A3" w:rsidRPr="00317E09">
        <w:rPr>
          <w:rFonts w:cs="Times New Roman"/>
          <w:bCs/>
        </w:rPr>
        <w:t>202</w:t>
      </w:r>
      <w:r w:rsidR="003D79C0" w:rsidRPr="00317E09">
        <w:rPr>
          <w:rFonts w:cs="Times New Roman"/>
          <w:bCs/>
        </w:rPr>
        <w:t>7</w:t>
      </w:r>
      <w:r w:rsidR="00FF31A3" w:rsidRPr="00317E09">
        <w:rPr>
          <w:rFonts w:cs="Times New Roman"/>
          <w:bCs/>
        </w:rPr>
        <w:t xml:space="preserve"> BTRR rates reflect</w:t>
      </w:r>
      <w:r w:rsidR="008C0FE1" w:rsidRPr="00317E09">
        <w:rPr>
          <w:rFonts w:cs="Times New Roman"/>
          <w:bCs/>
        </w:rPr>
        <w:t>ing</w:t>
      </w:r>
      <w:r w:rsidR="00FF31A3" w:rsidRPr="00317E09">
        <w:rPr>
          <w:rFonts w:cs="Times New Roman"/>
          <w:bCs/>
        </w:rPr>
        <w:t xml:space="preserve"> the </w:t>
      </w:r>
      <w:r w:rsidR="003D79C0" w:rsidRPr="00317E09">
        <w:rPr>
          <w:rFonts w:cs="Times New Roman"/>
          <w:bCs/>
        </w:rPr>
        <w:t>Medium Commercial carve-out for</w:t>
      </w:r>
      <w:r w:rsidR="00FF31A3" w:rsidRPr="00317E09">
        <w:rPr>
          <w:rFonts w:cs="Times New Roman"/>
          <w:bCs/>
        </w:rPr>
        <w:t xml:space="preserve"> BTRR rates</w:t>
      </w:r>
      <w:r w:rsidR="00FF31A3" w:rsidRPr="00317E09">
        <w:rPr>
          <w:rFonts w:cs="Times New Roman"/>
        </w:rPr>
        <w:t xml:space="preserve">. </w:t>
      </w:r>
      <w:r w:rsidR="003C78CB" w:rsidRPr="00317E09">
        <w:rPr>
          <w:rFonts w:cs="Times New Roman"/>
        </w:rPr>
        <w:t xml:space="preserve">The proposed </w:t>
      </w:r>
      <w:r w:rsidR="003D79C0" w:rsidRPr="00317E09">
        <w:rPr>
          <w:rFonts w:cs="Times New Roman"/>
          <w:bCs/>
        </w:rPr>
        <w:t>Medium Commercial class breakout for</w:t>
      </w:r>
      <w:r w:rsidR="003C78CB" w:rsidRPr="00317E09">
        <w:rPr>
          <w:rFonts w:cs="Times New Roman"/>
          <w:bCs/>
        </w:rPr>
        <w:t xml:space="preserve"> BTRR rates</w:t>
      </w:r>
      <w:r w:rsidR="003D79C0" w:rsidRPr="00317E09">
        <w:rPr>
          <w:rFonts w:cs="Times New Roman"/>
          <w:bCs/>
        </w:rPr>
        <w:t xml:space="preserve"> as well as the change in policy</w:t>
      </w:r>
      <w:r w:rsidR="003C78CB" w:rsidRPr="00317E09">
        <w:rPr>
          <w:rFonts w:cs="Times New Roman"/>
          <w:bCs/>
        </w:rPr>
        <w:t xml:space="preserve"> result in changes to revenues collected from </w:t>
      </w:r>
      <w:r w:rsidR="003D79C0" w:rsidRPr="00317E09">
        <w:rPr>
          <w:rFonts w:cs="Times New Roman"/>
          <w:bCs/>
        </w:rPr>
        <w:t>all classes</w:t>
      </w:r>
      <w:r w:rsidR="00F72CD9" w:rsidRPr="00317E09">
        <w:rPr>
          <w:rFonts w:cs="Times New Roman"/>
          <w:bCs/>
        </w:rPr>
        <w:t>.</w:t>
      </w:r>
      <w:r w:rsidR="003C78CB" w:rsidRPr="00317E09">
        <w:rPr>
          <w:rFonts w:cs="Times New Roman"/>
        </w:rPr>
        <w:t xml:space="preserve"> </w:t>
      </w:r>
    </w:p>
    <w:p w14:paraId="56AA248B" w14:textId="35A2FB56" w:rsidR="00B070F2" w:rsidRPr="00317E09" w:rsidRDefault="003C78CB" w:rsidP="00CB3AB6">
      <w:pPr>
        <w:pStyle w:val="BodyText3"/>
        <w:rPr>
          <w:color w:val="auto"/>
        </w:rPr>
      </w:pPr>
      <w:r w:rsidRPr="00317E09">
        <w:rPr>
          <w:color w:val="auto"/>
        </w:rPr>
        <w:t xml:space="preserve">Page BG-1 of the revised Statement BG in Attachment </w:t>
      </w:r>
      <w:r w:rsidR="00F747F4">
        <w:rPr>
          <w:color w:val="auto"/>
        </w:rPr>
        <w:t>G</w:t>
      </w:r>
      <w:r w:rsidRPr="00317E09">
        <w:rPr>
          <w:color w:val="auto"/>
        </w:rPr>
        <w:t xml:space="preserve"> presents class revenues under current 202</w:t>
      </w:r>
      <w:r w:rsidR="003D79C0" w:rsidRPr="00317E09">
        <w:rPr>
          <w:color w:val="auto"/>
        </w:rPr>
        <w:t>6</w:t>
      </w:r>
      <w:r w:rsidRPr="00317E09">
        <w:rPr>
          <w:color w:val="auto"/>
        </w:rPr>
        <w:t xml:space="preserve"> RS rates adopted in Docket No. ER2</w:t>
      </w:r>
      <w:r w:rsidR="003D79C0" w:rsidRPr="00317E09">
        <w:rPr>
          <w:color w:val="auto"/>
        </w:rPr>
        <w:t>6</w:t>
      </w:r>
      <w:r w:rsidRPr="00317E09">
        <w:rPr>
          <w:color w:val="auto"/>
        </w:rPr>
        <w:noBreakHyphen/>
      </w:r>
      <w:r w:rsidR="003D79C0" w:rsidRPr="00317E09">
        <w:rPr>
          <w:color w:val="auto"/>
        </w:rPr>
        <w:t>790</w:t>
      </w:r>
      <w:r w:rsidRPr="00317E09">
        <w:rPr>
          <w:color w:val="auto"/>
        </w:rPr>
        <w:noBreakHyphen/>
        <w:t xml:space="preserve">000 compared to revenues under </w:t>
      </w:r>
      <w:r w:rsidR="003D79C0" w:rsidRPr="00317E09">
        <w:rPr>
          <w:color w:val="auto"/>
        </w:rPr>
        <w:t>proposed</w:t>
      </w:r>
      <w:r w:rsidRPr="00317E09">
        <w:rPr>
          <w:color w:val="auto"/>
        </w:rPr>
        <w:t xml:space="preserve"> 202</w:t>
      </w:r>
      <w:r w:rsidR="003D79C0" w:rsidRPr="00317E09">
        <w:rPr>
          <w:color w:val="auto"/>
        </w:rPr>
        <w:t>7</w:t>
      </w:r>
      <w:r w:rsidRPr="00317E09">
        <w:rPr>
          <w:color w:val="auto"/>
        </w:rPr>
        <w:t xml:space="preserve"> RS rates that reflect the </w:t>
      </w:r>
      <w:r w:rsidR="003D79C0" w:rsidRPr="00317E09">
        <w:rPr>
          <w:color w:val="auto"/>
        </w:rPr>
        <w:t>Medium Commercial class breakout</w:t>
      </w:r>
      <w:r w:rsidRPr="00317E09">
        <w:rPr>
          <w:color w:val="auto"/>
        </w:rPr>
        <w:t xml:space="preserve">. The proposed </w:t>
      </w:r>
      <w:r w:rsidR="00FB2735" w:rsidRPr="00317E09">
        <w:rPr>
          <w:color w:val="auto"/>
        </w:rPr>
        <w:t>RS</w:t>
      </w:r>
      <w:r w:rsidRPr="00317E09">
        <w:rPr>
          <w:color w:val="auto"/>
        </w:rPr>
        <w:t xml:space="preserve"> rates result </w:t>
      </w:r>
      <w:r w:rsidR="00565E03" w:rsidRPr="00317E09">
        <w:rPr>
          <w:color w:val="auto"/>
        </w:rPr>
        <w:t xml:space="preserve">in </w:t>
      </w:r>
      <w:r w:rsidR="00FB2735" w:rsidRPr="00317E09">
        <w:rPr>
          <w:color w:val="auto"/>
        </w:rPr>
        <w:t>revenue</w:t>
      </w:r>
      <w:r w:rsidR="00317E09" w:rsidRPr="00317E09">
        <w:rPr>
          <w:color w:val="auto"/>
        </w:rPr>
        <w:t xml:space="preserve"> changes for all classes due to the 2027 sales forecast</w:t>
      </w:r>
      <w:bookmarkStart w:id="1" w:name="_Hlk78114508"/>
      <w:r w:rsidRPr="00317E09">
        <w:rPr>
          <w:color w:val="auto"/>
        </w:rPr>
        <w:t>.</w:t>
      </w:r>
      <w:bookmarkEnd w:id="1"/>
      <w:r w:rsidR="00BE39C6" w:rsidRPr="00317E09">
        <w:rPr>
          <w:color w:val="auto"/>
        </w:rPr>
        <w:t xml:space="preserve"> </w:t>
      </w:r>
    </w:p>
    <w:p w14:paraId="310BB389" w14:textId="77777777" w:rsidR="00780AAA" w:rsidRDefault="00780AAA">
      <w:pPr>
        <w:spacing w:after="200" w:line="276" w:lineRule="auto"/>
        <w:rPr>
          <w:b/>
          <w:bCs/>
        </w:rPr>
      </w:pPr>
      <w:r>
        <w:br w:type="page"/>
      </w:r>
    </w:p>
    <w:p w14:paraId="07F3953C" w14:textId="28C55FB4" w:rsidR="00BE39C6" w:rsidRPr="00677F9B" w:rsidRDefault="00BE39C6" w:rsidP="00CB3AB6">
      <w:pPr>
        <w:pStyle w:val="BodyText"/>
      </w:pPr>
      <w:r w:rsidRPr="00677F9B">
        <w:lastRenderedPageBreak/>
        <w:t>Q1</w:t>
      </w:r>
      <w:r w:rsidR="004527C7">
        <w:t>5</w:t>
      </w:r>
      <w:r w:rsidRPr="00677F9B">
        <w:t>.</w:t>
      </w:r>
      <w:r w:rsidRPr="00677F9B">
        <w:tab/>
        <w:t xml:space="preserve">Please describe the revisions to Statement BH presented in Attachment </w:t>
      </w:r>
      <w:r w:rsidR="00D8078C">
        <w:t>H</w:t>
      </w:r>
      <w:r w:rsidRPr="00677F9B">
        <w:t xml:space="preserve"> for BTRR rates and Attachment I for RS rates.</w:t>
      </w:r>
    </w:p>
    <w:p w14:paraId="0DCE4442" w14:textId="6B2CC1A4" w:rsidR="00744BEB" w:rsidRPr="00677F9B" w:rsidRDefault="00BE39C6" w:rsidP="00CB3AB6">
      <w:pPr>
        <w:pStyle w:val="BodyText2"/>
        <w:rPr>
          <w:color w:val="auto"/>
        </w:rPr>
      </w:pPr>
      <w:r w:rsidRPr="00677F9B">
        <w:rPr>
          <w:color w:val="auto"/>
        </w:rPr>
        <w:t>A1</w:t>
      </w:r>
      <w:r w:rsidR="004527C7">
        <w:rPr>
          <w:color w:val="auto"/>
        </w:rPr>
        <w:t>5</w:t>
      </w:r>
      <w:r w:rsidRPr="00677F9B">
        <w:rPr>
          <w:color w:val="auto"/>
        </w:rPr>
        <w:t>.</w:t>
      </w:r>
      <w:r w:rsidRPr="00677F9B">
        <w:rPr>
          <w:color w:val="auto"/>
        </w:rPr>
        <w:tab/>
        <w:t>Statement BH presents the revenues forecasted to be collected by class based on current 202</w:t>
      </w:r>
      <w:r w:rsidR="00317E09" w:rsidRPr="00677F9B">
        <w:rPr>
          <w:color w:val="auto"/>
        </w:rPr>
        <w:t>6</w:t>
      </w:r>
      <w:r w:rsidRPr="00677F9B">
        <w:rPr>
          <w:color w:val="auto"/>
        </w:rPr>
        <w:t xml:space="preserve"> BTRR and RS rates. Page B</w:t>
      </w:r>
      <w:r w:rsidR="00593A10" w:rsidRPr="00677F9B">
        <w:rPr>
          <w:color w:val="auto"/>
        </w:rPr>
        <w:t>H</w:t>
      </w:r>
      <w:r w:rsidRPr="00677F9B">
        <w:rPr>
          <w:color w:val="auto"/>
        </w:rPr>
        <w:t xml:space="preserve">-1 of </w:t>
      </w:r>
      <w:r w:rsidR="003C78CB" w:rsidRPr="00677F9B">
        <w:rPr>
          <w:color w:val="auto"/>
        </w:rPr>
        <w:t xml:space="preserve">revised </w:t>
      </w:r>
      <w:r w:rsidRPr="00677F9B">
        <w:rPr>
          <w:color w:val="auto"/>
        </w:rPr>
        <w:t>Statement B</w:t>
      </w:r>
      <w:r w:rsidR="00593A10" w:rsidRPr="00677F9B">
        <w:rPr>
          <w:color w:val="auto"/>
        </w:rPr>
        <w:t>H</w:t>
      </w:r>
      <w:r w:rsidRPr="00677F9B">
        <w:rPr>
          <w:color w:val="auto"/>
        </w:rPr>
        <w:t xml:space="preserve"> </w:t>
      </w:r>
      <w:r w:rsidR="003C78CB" w:rsidRPr="00677F9B">
        <w:rPr>
          <w:color w:val="auto"/>
        </w:rPr>
        <w:t xml:space="preserve">in Attachment </w:t>
      </w:r>
      <w:r w:rsidR="00D8078C">
        <w:rPr>
          <w:color w:val="auto"/>
        </w:rPr>
        <w:t>H</w:t>
      </w:r>
      <w:r w:rsidR="003C78CB" w:rsidRPr="00677F9B">
        <w:rPr>
          <w:color w:val="auto"/>
        </w:rPr>
        <w:t xml:space="preserve"> </w:t>
      </w:r>
      <w:r w:rsidRPr="00677F9B">
        <w:rPr>
          <w:color w:val="auto"/>
        </w:rPr>
        <w:t>presents class revenues under current 202</w:t>
      </w:r>
      <w:r w:rsidR="00317E09" w:rsidRPr="00677F9B">
        <w:rPr>
          <w:color w:val="auto"/>
        </w:rPr>
        <w:t>6</w:t>
      </w:r>
      <w:r w:rsidRPr="00677F9B">
        <w:rPr>
          <w:color w:val="auto"/>
        </w:rPr>
        <w:t xml:space="preserve"> </w:t>
      </w:r>
      <w:r w:rsidR="003C78CB" w:rsidRPr="00677F9B">
        <w:rPr>
          <w:color w:val="auto"/>
        </w:rPr>
        <w:t>BTRR</w:t>
      </w:r>
      <w:r w:rsidRPr="00677F9B">
        <w:rPr>
          <w:color w:val="auto"/>
        </w:rPr>
        <w:t xml:space="preserve"> rates adopted in Docket No. ER2</w:t>
      </w:r>
      <w:r w:rsidR="00317E09" w:rsidRPr="00677F9B">
        <w:rPr>
          <w:color w:val="auto"/>
        </w:rPr>
        <w:t>6</w:t>
      </w:r>
      <w:r w:rsidRPr="00677F9B">
        <w:rPr>
          <w:color w:val="auto"/>
        </w:rPr>
        <w:noBreakHyphen/>
      </w:r>
      <w:r w:rsidR="00317E09" w:rsidRPr="00677F9B">
        <w:rPr>
          <w:color w:val="auto"/>
        </w:rPr>
        <w:t>632</w:t>
      </w:r>
      <w:r w:rsidRPr="00677F9B">
        <w:rPr>
          <w:color w:val="auto"/>
        </w:rPr>
        <w:noBreakHyphen/>
        <w:t>000</w:t>
      </w:r>
      <w:r w:rsidR="00593A10" w:rsidRPr="00677F9B">
        <w:rPr>
          <w:color w:val="auto"/>
        </w:rPr>
        <w:t xml:space="preserve"> with </w:t>
      </w:r>
      <w:r w:rsidR="003C78CB" w:rsidRPr="00677F9B">
        <w:rPr>
          <w:color w:val="auto"/>
        </w:rPr>
        <w:t xml:space="preserve">the </w:t>
      </w:r>
      <w:r w:rsidR="00593A10" w:rsidRPr="00677F9B">
        <w:rPr>
          <w:color w:val="auto"/>
        </w:rPr>
        <w:t xml:space="preserve">revenues </w:t>
      </w:r>
      <w:r w:rsidR="003C78CB" w:rsidRPr="00677F9B">
        <w:rPr>
          <w:color w:val="auto"/>
        </w:rPr>
        <w:t xml:space="preserve">being separately identified </w:t>
      </w:r>
      <w:r w:rsidR="00593A10" w:rsidRPr="00677F9B">
        <w:rPr>
          <w:color w:val="auto"/>
        </w:rPr>
        <w:t xml:space="preserve">for the </w:t>
      </w:r>
      <w:r w:rsidR="00317E09" w:rsidRPr="00677F9B">
        <w:rPr>
          <w:color w:val="auto"/>
        </w:rPr>
        <w:t>Medium Commercial class</w:t>
      </w:r>
      <w:r w:rsidRPr="00677F9B">
        <w:rPr>
          <w:color w:val="auto"/>
        </w:rPr>
        <w:t xml:space="preserve">.  </w:t>
      </w:r>
    </w:p>
    <w:p w14:paraId="26B0D7F8" w14:textId="2E5BAB2E" w:rsidR="00BE39C6" w:rsidRPr="00677F9B" w:rsidRDefault="00A611BA" w:rsidP="00CB3AB6">
      <w:pPr>
        <w:pStyle w:val="BodyText3"/>
        <w:rPr>
          <w:color w:val="auto"/>
        </w:rPr>
      </w:pPr>
      <w:r w:rsidRPr="00677F9B">
        <w:rPr>
          <w:bCs/>
          <w:color w:val="auto"/>
        </w:rPr>
        <w:t>Page BH-1 of revised Statement BH in Attachment I presents class revenues under current 202</w:t>
      </w:r>
      <w:r w:rsidR="00677F9B" w:rsidRPr="00677F9B">
        <w:rPr>
          <w:bCs/>
          <w:color w:val="auto"/>
        </w:rPr>
        <w:t>6</w:t>
      </w:r>
      <w:r w:rsidRPr="00677F9B">
        <w:rPr>
          <w:bCs/>
          <w:color w:val="auto"/>
        </w:rPr>
        <w:t xml:space="preserve"> RS rates adopted in </w:t>
      </w:r>
      <w:r w:rsidRPr="00677F9B">
        <w:rPr>
          <w:color w:val="auto"/>
        </w:rPr>
        <w:t>Docket No. ER2</w:t>
      </w:r>
      <w:r w:rsidR="00677F9B" w:rsidRPr="00677F9B">
        <w:rPr>
          <w:color w:val="auto"/>
        </w:rPr>
        <w:t>6</w:t>
      </w:r>
      <w:r w:rsidRPr="00677F9B">
        <w:rPr>
          <w:color w:val="auto"/>
        </w:rPr>
        <w:noBreakHyphen/>
      </w:r>
      <w:r w:rsidR="00677F9B" w:rsidRPr="00677F9B">
        <w:rPr>
          <w:color w:val="auto"/>
        </w:rPr>
        <w:t>790</w:t>
      </w:r>
      <w:r w:rsidRPr="00677F9B">
        <w:rPr>
          <w:color w:val="auto"/>
        </w:rPr>
        <w:noBreakHyphen/>
        <w:t xml:space="preserve">000 with the revenues being separately identified for the </w:t>
      </w:r>
      <w:r w:rsidR="00677F9B" w:rsidRPr="00677F9B">
        <w:rPr>
          <w:color w:val="auto"/>
        </w:rPr>
        <w:t>Medium Commercial class</w:t>
      </w:r>
      <w:r w:rsidR="00365DC4" w:rsidRPr="00677F9B">
        <w:rPr>
          <w:color w:val="auto"/>
        </w:rPr>
        <w:t>.</w:t>
      </w:r>
      <w:r w:rsidR="00BE39C6" w:rsidRPr="00677F9B">
        <w:rPr>
          <w:color w:val="auto"/>
        </w:rPr>
        <w:t xml:space="preserve"> </w:t>
      </w:r>
    </w:p>
    <w:p w14:paraId="356471D1" w14:textId="3C3091EC" w:rsidR="00F52244" w:rsidRPr="00677F9B" w:rsidRDefault="00EF5F8D" w:rsidP="00CB3AB6">
      <w:pPr>
        <w:pStyle w:val="Heading1"/>
      </w:pPr>
      <w:r w:rsidRPr="00677F9B">
        <w:t>REVISIONS</w:t>
      </w:r>
      <w:r w:rsidR="00F52244" w:rsidRPr="00677F9B">
        <w:t xml:space="preserve"> TO APPENDIX V</w:t>
      </w:r>
      <w:r w:rsidR="00A06C68" w:rsidRPr="00677F9B">
        <w:t>II</w:t>
      </w:r>
    </w:p>
    <w:p w14:paraId="696F27FB" w14:textId="043241FE" w:rsidR="00F52244" w:rsidRPr="00677F9B" w:rsidRDefault="00F52244" w:rsidP="00CB3AB6">
      <w:pPr>
        <w:pStyle w:val="BodyText"/>
      </w:pPr>
      <w:r w:rsidRPr="00677F9B">
        <w:t>Q</w:t>
      </w:r>
      <w:r w:rsidR="0013570E" w:rsidRPr="00677F9B">
        <w:t>1</w:t>
      </w:r>
      <w:r w:rsidR="004527C7">
        <w:t>6</w:t>
      </w:r>
      <w:r w:rsidRPr="00677F9B">
        <w:t>.</w:t>
      </w:r>
      <w:r w:rsidRPr="00677F9B">
        <w:tab/>
        <w:t>Are you proposing changes to SDG&amp;E Appendix V</w:t>
      </w:r>
      <w:r w:rsidR="00C34CAF" w:rsidRPr="00677F9B">
        <w:t>II</w:t>
      </w:r>
      <w:r w:rsidRPr="00677F9B">
        <w:t>?</w:t>
      </w:r>
    </w:p>
    <w:p w14:paraId="75AE4B1E" w14:textId="7005EBF2" w:rsidR="00FE076C" w:rsidRPr="00065C0B" w:rsidRDefault="00F52244" w:rsidP="00CB3AB6">
      <w:pPr>
        <w:pStyle w:val="BodyText2"/>
        <w:rPr>
          <w:color w:val="EE0000"/>
        </w:rPr>
      </w:pPr>
      <w:r w:rsidRPr="00677F9B">
        <w:rPr>
          <w:color w:val="auto"/>
        </w:rPr>
        <w:t>A</w:t>
      </w:r>
      <w:r w:rsidR="0013570E" w:rsidRPr="00677F9B">
        <w:rPr>
          <w:color w:val="auto"/>
        </w:rPr>
        <w:t>1</w:t>
      </w:r>
      <w:r w:rsidR="004527C7">
        <w:rPr>
          <w:color w:val="auto"/>
        </w:rPr>
        <w:t>6</w:t>
      </w:r>
      <w:r w:rsidRPr="00677F9B">
        <w:rPr>
          <w:color w:val="auto"/>
        </w:rPr>
        <w:t>.</w:t>
      </w:r>
      <w:r w:rsidRPr="00677F9B">
        <w:rPr>
          <w:color w:val="auto"/>
        </w:rPr>
        <w:tab/>
        <w:t xml:space="preserve">Yes. </w:t>
      </w:r>
      <w:r w:rsidR="00F72CD9" w:rsidRPr="00677F9B">
        <w:rPr>
          <w:color w:val="auto"/>
        </w:rPr>
        <w:t xml:space="preserve">SDG&amp;E is proposing </w:t>
      </w:r>
      <w:r w:rsidR="004519FE" w:rsidRPr="00677F9B">
        <w:rPr>
          <w:color w:val="auto"/>
        </w:rPr>
        <w:t>to</w:t>
      </w:r>
      <w:r w:rsidR="004519FE" w:rsidRPr="00677F9B" w:rsidDel="00E9607B">
        <w:rPr>
          <w:color w:val="auto"/>
        </w:rPr>
        <w:t xml:space="preserve"> </w:t>
      </w:r>
      <w:r w:rsidR="00F72CD9" w:rsidRPr="00677F9B">
        <w:rPr>
          <w:color w:val="auto"/>
        </w:rPr>
        <w:t>add</w:t>
      </w:r>
      <w:r w:rsidR="00E9607B">
        <w:rPr>
          <w:color w:val="auto"/>
        </w:rPr>
        <w:t>: (1)</w:t>
      </w:r>
      <w:r w:rsidR="00F72CD9" w:rsidRPr="00677F9B">
        <w:rPr>
          <w:color w:val="auto"/>
        </w:rPr>
        <w:t xml:space="preserve"> </w:t>
      </w:r>
      <w:r w:rsidR="003F6D76">
        <w:rPr>
          <w:color w:val="auto"/>
        </w:rPr>
        <w:t>three</w:t>
      </w:r>
      <w:r w:rsidR="00F72CD9" w:rsidRPr="00065C0B">
        <w:rPr>
          <w:color w:val="EE0000"/>
        </w:rPr>
        <w:t xml:space="preserve"> </w:t>
      </w:r>
      <w:r w:rsidR="00F72CD9" w:rsidRPr="00677F9B">
        <w:rPr>
          <w:color w:val="auto"/>
        </w:rPr>
        <w:t>new line number</w:t>
      </w:r>
      <w:r w:rsidR="0079362B">
        <w:rPr>
          <w:color w:val="auto"/>
        </w:rPr>
        <w:t>s</w:t>
      </w:r>
      <w:r w:rsidR="00F72CD9" w:rsidRPr="00677F9B">
        <w:rPr>
          <w:color w:val="auto"/>
        </w:rPr>
        <w:t xml:space="preserve"> to identify the </w:t>
      </w:r>
      <w:r w:rsidR="00677F9B" w:rsidRPr="00677F9B">
        <w:rPr>
          <w:color w:val="auto"/>
        </w:rPr>
        <w:t xml:space="preserve">Medium Commercial class </w:t>
      </w:r>
      <w:r w:rsidR="003C73DC" w:rsidRPr="00677F9B">
        <w:rPr>
          <w:color w:val="auto"/>
        </w:rPr>
        <w:t>RS</w:t>
      </w:r>
      <w:r w:rsidR="00F72CD9" w:rsidRPr="00677F9B">
        <w:rPr>
          <w:color w:val="auto"/>
        </w:rPr>
        <w:t xml:space="preserve"> rates</w:t>
      </w:r>
      <w:r w:rsidR="00E9607B">
        <w:rPr>
          <w:color w:val="auto"/>
        </w:rPr>
        <w:t>;</w:t>
      </w:r>
      <w:r w:rsidR="00F72CD9" w:rsidRPr="00677F9B">
        <w:rPr>
          <w:color w:val="auto"/>
        </w:rPr>
        <w:t xml:space="preserve"> and </w:t>
      </w:r>
      <w:r w:rsidR="00E9607B">
        <w:rPr>
          <w:color w:val="auto"/>
        </w:rPr>
        <w:t>(2)</w:t>
      </w:r>
      <w:r w:rsidR="00F72CD9" w:rsidRPr="00677F9B">
        <w:rPr>
          <w:color w:val="auto"/>
        </w:rPr>
        <w:t xml:space="preserve"> a new footnote with the </w:t>
      </w:r>
      <w:r w:rsidR="00F72CD9" w:rsidRPr="0079362B">
        <w:rPr>
          <w:color w:val="auto"/>
        </w:rPr>
        <w:t>words “</w:t>
      </w:r>
      <w:r w:rsidR="0079362B" w:rsidRPr="0079362B">
        <w:rPr>
          <w:color w:val="auto"/>
        </w:rPr>
        <w:t>Medium Commercial volumetric only rate applied to customers on schedules EV-HP, TOU-M and OL-TOU.</w:t>
      </w:r>
      <w:r w:rsidR="00F72CD9" w:rsidRPr="0079362B">
        <w:rPr>
          <w:color w:val="auto"/>
        </w:rPr>
        <w:t xml:space="preserve">” to SDG&amp;E Appendix VII to accommodate SDG&amp;E’s proposal to have </w:t>
      </w:r>
      <w:r w:rsidR="0079362B" w:rsidRPr="0079362B">
        <w:rPr>
          <w:color w:val="auto"/>
        </w:rPr>
        <w:t xml:space="preserve">a volumetric-only Medium Commercial </w:t>
      </w:r>
      <w:r w:rsidR="00F72CD9" w:rsidRPr="0079362B">
        <w:rPr>
          <w:color w:val="auto"/>
        </w:rPr>
        <w:t xml:space="preserve">RS rate. In addition, </w:t>
      </w:r>
      <w:r w:rsidR="00E176F4" w:rsidRPr="0079362B">
        <w:rPr>
          <w:color w:val="auto"/>
        </w:rPr>
        <w:t xml:space="preserve">SDG&amp;E is </w:t>
      </w:r>
      <w:r w:rsidRPr="0079362B">
        <w:rPr>
          <w:color w:val="auto"/>
        </w:rPr>
        <w:t xml:space="preserve">proposing </w:t>
      </w:r>
      <w:r w:rsidR="00024FE3" w:rsidRPr="0079362B">
        <w:rPr>
          <w:color w:val="auto"/>
        </w:rPr>
        <w:t xml:space="preserve">to </w:t>
      </w:r>
      <w:r w:rsidR="0079362B" w:rsidRPr="0079362B">
        <w:rPr>
          <w:color w:val="auto"/>
        </w:rPr>
        <w:t>remove</w:t>
      </w:r>
      <w:r w:rsidR="00024FE3" w:rsidRPr="0079362B">
        <w:rPr>
          <w:color w:val="auto"/>
        </w:rPr>
        <w:t xml:space="preserve"> the words “</w:t>
      </w:r>
      <w:r w:rsidR="003F6D76">
        <w:t>and commercial</w:t>
      </w:r>
      <w:r w:rsidR="003F6D76">
        <w:rPr>
          <w:spacing w:val="-4"/>
        </w:rPr>
        <w:t xml:space="preserve"> </w:t>
      </w:r>
      <w:r w:rsidR="003F6D76">
        <w:t>electric</w:t>
      </w:r>
      <w:r w:rsidR="003F6D76">
        <w:rPr>
          <w:spacing w:val="-3"/>
        </w:rPr>
        <w:t xml:space="preserve"> </w:t>
      </w:r>
      <w:r w:rsidR="003F6D76">
        <w:t>vehicle</w:t>
      </w:r>
      <w:r w:rsidR="003F6D76">
        <w:rPr>
          <w:spacing w:val="-3"/>
        </w:rPr>
        <w:t xml:space="preserve"> </w:t>
      </w:r>
      <w:r w:rsidR="003F6D76">
        <w:t>(EV)</w:t>
      </w:r>
      <w:r w:rsidR="003F6D76">
        <w:rPr>
          <w:spacing w:val="-4"/>
        </w:rPr>
        <w:t xml:space="preserve"> </w:t>
      </w:r>
      <w:r w:rsidR="003F6D76">
        <w:t>customers</w:t>
      </w:r>
      <w:r w:rsidR="003F6D76">
        <w:rPr>
          <w:spacing w:val="-4"/>
        </w:rPr>
        <w:t xml:space="preserve"> </w:t>
      </w:r>
      <w:r w:rsidR="003F6D76">
        <w:t>on</w:t>
      </w:r>
      <w:r w:rsidR="003F6D76">
        <w:rPr>
          <w:spacing w:val="-2"/>
        </w:rPr>
        <w:t xml:space="preserve"> </w:t>
      </w:r>
      <w:r w:rsidR="003F6D76">
        <w:t>California</w:t>
      </w:r>
      <w:r w:rsidR="003F6D76">
        <w:rPr>
          <w:spacing w:val="-3"/>
        </w:rPr>
        <w:t xml:space="preserve"> </w:t>
      </w:r>
      <w:r w:rsidR="003F6D76">
        <w:t>Public</w:t>
      </w:r>
      <w:r w:rsidR="003F6D76">
        <w:rPr>
          <w:spacing w:val="-3"/>
        </w:rPr>
        <w:t xml:space="preserve"> </w:t>
      </w:r>
      <w:r w:rsidR="003F6D76">
        <w:t>Utilities</w:t>
      </w:r>
      <w:r w:rsidR="003F6D76">
        <w:rPr>
          <w:spacing w:val="-3"/>
        </w:rPr>
        <w:t xml:space="preserve"> </w:t>
      </w:r>
      <w:r w:rsidR="003F6D76">
        <w:t>Commission</w:t>
      </w:r>
      <w:r w:rsidR="003F6D76">
        <w:rPr>
          <w:spacing w:val="-4"/>
        </w:rPr>
        <w:t xml:space="preserve"> </w:t>
      </w:r>
      <w:r w:rsidR="003F6D76">
        <w:t>(CPUC)</w:t>
      </w:r>
      <w:r w:rsidR="003F6D76">
        <w:rPr>
          <w:spacing w:val="-4"/>
        </w:rPr>
        <w:t xml:space="preserve"> </w:t>
      </w:r>
      <w:r w:rsidR="003F6D76">
        <w:t>Schedule</w:t>
      </w:r>
      <w:r w:rsidR="003F6D76">
        <w:rPr>
          <w:spacing w:val="-3"/>
        </w:rPr>
        <w:t xml:space="preserve"> </w:t>
      </w:r>
      <w:r w:rsidR="003F6D76">
        <w:t>EV-HP</w:t>
      </w:r>
      <w:r w:rsidR="0013570E" w:rsidRPr="0079362B">
        <w:rPr>
          <w:color w:val="auto"/>
        </w:rPr>
        <w:t xml:space="preserve">” </w:t>
      </w:r>
      <w:r w:rsidR="0079362B" w:rsidRPr="0079362B">
        <w:rPr>
          <w:color w:val="auto"/>
        </w:rPr>
        <w:t>from</w:t>
      </w:r>
      <w:r w:rsidRPr="0079362B">
        <w:rPr>
          <w:color w:val="auto"/>
        </w:rPr>
        <w:t xml:space="preserve"> </w:t>
      </w:r>
      <w:r w:rsidR="00F72CD9" w:rsidRPr="0079362B">
        <w:rPr>
          <w:color w:val="auto"/>
        </w:rPr>
        <w:t>the o</w:t>
      </w:r>
      <w:r w:rsidR="002C6C97" w:rsidRPr="0079362B">
        <w:rPr>
          <w:color w:val="auto"/>
        </w:rPr>
        <w:t>riginal</w:t>
      </w:r>
      <w:r w:rsidR="00F72CD9" w:rsidRPr="0079362B">
        <w:rPr>
          <w:color w:val="auto"/>
        </w:rPr>
        <w:t xml:space="preserve"> </w:t>
      </w:r>
      <w:r w:rsidR="00024FE3" w:rsidRPr="0079362B">
        <w:rPr>
          <w:color w:val="auto"/>
        </w:rPr>
        <w:t xml:space="preserve">footnote </w:t>
      </w:r>
      <w:r w:rsidR="003F6D76">
        <w:rPr>
          <w:color w:val="auto"/>
        </w:rPr>
        <w:t>4</w:t>
      </w:r>
      <w:r w:rsidR="00F72CD9" w:rsidRPr="0079362B">
        <w:rPr>
          <w:color w:val="auto"/>
        </w:rPr>
        <w:t xml:space="preserve"> </w:t>
      </w:r>
      <w:r w:rsidR="0082330C">
        <w:rPr>
          <w:color w:val="auto"/>
        </w:rPr>
        <w:t>(</w:t>
      </w:r>
      <w:r w:rsidR="00F72CD9" w:rsidRPr="0079362B">
        <w:rPr>
          <w:color w:val="auto"/>
        </w:rPr>
        <w:t xml:space="preserve">now footnote </w:t>
      </w:r>
      <w:r w:rsidR="003F6D76">
        <w:rPr>
          <w:color w:val="auto"/>
        </w:rPr>
        <w:t>5</w:t>
      </w:r>
      <w:r w:rsidR="0082330C">
        <w:rPr>
          <w:color w:val="auto"/>
        </w:rPr>
        <w:t>)</w:t>
      </w:r>
      <w:r w:rsidR="00024FE3" w:rsidRPr="0079362B">
        <w:rPr>
          <w:color w:val="auto"/>
        </w:rPr>
        <w:t xml:space="preserve"> of </w:t>
      </w:r>
      <w:r w:rsidRPr="0079362B">
        <w:rPr>
          <w:color w:val="auto"/>
        </w:rPr>
        <w:t xml:space="preserve">Appendix </w:t>
      </w:r>
      <w:r w:rsidR="00257F11" w:rsidRPr="0079362B">
        <w:rPr>
          <w:color w:val="auto"/>
        </w:rPr>
        <w:t>VII</w:t>
      </w:r>
      <w:r w:rsidR="00024FE3" w:rsidRPr="0079362B">
        <w:rPr>
          <w:color w:val="auto"/>
        </w:rPr>
        <w:t xml:space="preserve"> to accommodate SDG&amp;E’s proposal to </w:t>
      </w:r>
      <w:r w:rsidR="0079362B" w:rsidRPr="0079362B">
        <w:rPr>
          <w:color w:val="auto"/>
        </w:rPr>
        <w:t xml:space="preserve">move </w:t>
      </w:r>
      <w:r w:rsidR="00024FE3" w:rsidRPr="0079362B">
        <w:rPr>
          <w:color w:val="auto"/>
        </w:rPr>
        <w:t>CPUC Schedule EV-HP</w:t>
      </w:r>
      <w:r w:rsidR="0079362B" w:rsidRPr="0079362B">
        <w:rPr>
          <w:color w:val="auto"/>
        </w:rPr>
        <w:t xml:space="preserve"> off of the VGI rate and onto the volumetric-only Medium Commercial </w:t>
      </w:r>
      <w:r w:rsidR="0079362B" w:rsidRPr="003F6D76">
        <w:rPr>
          <w:color w:val="auto"/>
        </w:rPr>
        <w:t>rate</w:t>
      </w:r>
      <w:r w:rsidR="0013570E" w:rsidRPr="003F6D76">
        <w:rPr>
          <w:color w:val="auto"/>
        </w:rPr>
        <w:t>.</w:t>
      </w:r>
    </w:p>
    <w:p w14:paraId="533DDC35" w14:textId="77777777" w:rsidR="00780AAA" w:rsidRDefault="00780AAA">
      <w:pPr>
        <w:spacing w:after="200" w:line="276" w:lineRule="auto"/>
        <w:rPr>
          <w:rFonts w:cs="Times New Roman"/>
        </w:rPr>
      </w:pPr>
      <w:r>
        <w:rPr>
          <w:rFonts w:cs="Times New Roman"/>
          <w:b/>
          <w:bCs/>
        </w:rPr>
        <w:br w:type="page"/>
      </w:r>
    </w:p>
    <w:p w14:paraId="01BC1010" w14:textId="2FAE77FC" w:rsidR="00F52244" w:rsidRPr="003F6D76" w:rsidRDefault="00F52244" w:rsidP="00CB3AB6">
      <w:pPr>
        <w:pStyle w:val="BodyText"/>
      </w:pPr>
      <w:r w:rsidRPr="003F6D76">
        <w:lastRenderedPageBreak/>
        <w:t>Q</w:t>
      </w:r>
      <w:r w:rsidR="00583979">
        <w:t>17</w:t>
      </w:r>
      <w:r w:rsidRPr="003F6D76">
        <w:t>.</w:t>
      </w:r>
      <w:r w:rsidRPr="003F6D76">
        <w:tab/>
        <w:t>Are you including a complete Appendix V</w:t>
      </w:r>
      <w:r w:rsidR="00C34CAF" w:rsidRPr="003F6D76">
        <w:t>II</w:t>
      </w:r>
      <w:r w:rsidRPr="003F6D76">
        <w:t xml:space="preserve"> at this time to</w:t>
      </w:r>
      <w:r w:rsidR="00EF5F8D" w:rsidRPr="003F6D76">
        <w:t xml:space="preserve"> incorporate all </w:t>
      </w:r>
      <w:r w:rsidRPr="003F6D76">
        <w:t>substantive revisions?</w:t>
      </w:r>
    </w:p>
    <w:p w14:paraId="2569AA04" w14:textId="72106B84" w:rsidR="00416A8F" w:rsidRPr="00D776E7" w:rsidRDefault="00F52244" w:rsidP="00CB3AB6">
      <w:pPr>
        <w:pStyle w:val="BodyText2"/>
        <w:rPr>
          <w:color w:val="auto"/>
        </w:rPr>
      </w:pPr>
      <w:r w:rsidRPr="003F6D76">
        <w:rPr>
          <w:color w:val="auto"/>
        </w:rPr>
        <w:t>A</w:t>
      </w:r>
      <w:r w:rsidR="00583979">
        <w:rPr>
          <w:color w:val="auto"/>
        </w:rPr>
        <w:t>17</w:t>
      </w:r>
      <w:r w:rsidRPr="003F6D76">
        <w:rPr>
          <w:color w:val="auto"/>
        </w:rPr>
        <w:t>.</w:t>
      </w:r>
      <w:r w:rsidRPr="003F6D76">
        <w:rPr>
          <w:color w:val="auto"/>
        </w:rPr>
        <w:tab/>
        <w:t>Yes.</w:t>
      </w:r>
      <w:r w:rsidRPr="003F6D76" w:rsidDel="00452D30">
        <w:rPr>
          <w:color w:val="auto"/>
        </w:rPr>
        <w:t xml:space="preserve"> </w:t>
      </w:r>
      <w:r w:rsidRPr="003F6D76">
        <w:rPr>
          <w:color w:val="auto"/>
        </w:rPr>
        <w:t>Attachment</w:t>
      </w:r>
      <w:r w:rsidR="00195787">
        <w:rPr>
          <w:color w:val="auto"/>
        </w:rPr>
        <w:t>s A and</w:t>
      </w:r>
      <w:r w:rsidRPr="003F6D76">
        <w:rPr>
          <w:color w:val="auto"/>
        </w:rPr>
        <w:t xml:space="preserve"> </w:t>
      </w:r>
      <w:r w:rsidR="00EF5F8D" w:rsidRPr="003F6D76">
        <w:rPr>
          <w:color w:val="auto"/>
        </w:rPr>
        <w:t>B</w:t>
      </w:r>
      <w:r w:rsidRPr="003F6D76">
        <w:rPr>
          <w:color w:val="auto"/>
        </w:rPr>
        <w:t xml:space="preserve"> provide Appendix V</w:t>
      </w:r>
      <w:r w:rsidR="00A06C68" w:rsidRPr="003F6D76">
        <w:rPr>
          <w:color w:val="auto"/>
        </w:rPr>
        <w:t>II</w:t>
      </w:r>
      <w:r w:rsidRPr="003F6D76">
        <w:rPr>
          <w:color w:val="auto"/>
        </w:rPr>
        <w:t xml:space="preserve"> that reflects the proposed </w:t>
      </w:r>
      <w:r w:rsidR="00A06C68" w:rsidRPr="003F6D76">
        <w:rPr>
          <w:color w:val="auto"/>
        </w:rPr>
        <w:t xml:space="preserve">revisions to </w:t>
      </w:r>
      <w:r w:rsidR="00A06C68" w:rsidRPr="00D776E7">
        <w:rPr>
          <w:color w:val="auto"/>
        </w:rPr>
        <w:t>Appendix VII,</w:t>
      </w:r>
      <w:r w:rsidRPr="00D776E7">
        <w:rPr>
          <w:color w:val="auto"/>
        </w:rPr>
        <w:t xml:space="preserve"> as discussed above.</w:t>
      </w:r>
      <w:r w:rsidR="00416A8F" w:rsidRPr="00D776E7">
        <w:rPr>
          <w:color w:val="auto"/>
        </w:rPr>
        <w:t xml:space="preserve"> </w:t>
      </w:r>
    </w:p>
    <w:p w14:paraId="734B3941" w14:textId="082DB3DB" w:rsidR="00416A8F" w:rsidRPr="00D776E7" w:rsidRDefault="00416A8F" w:rsidP="00CB3AB6">
      <w:pPr>
        <w:pStyle w:val="Heading1"/>
      </w:pPr>
      <w:r w:rsidRPr="00D776E7">
        <w:t>REVISIONS TO APPENDIX IX</w:t>
      </w:r>
    </w:p>
    <w:p w14:paraId="4CA53FF7" w14:textId="49A76113" w:rsidR="00C34CAF" w:rsidRPr="00D776E7" w:rsidRDefault="00C34CAF" w:rsidP="00CB3AB6">
      <w:pPr>
        <w:pStyle w:val="BodyText"/>
      </w:pPr>
      <w:r w:rsidRPr="00D776E7">
        <w:t>Q</w:t>
      </w:r>
      <w:r w:rsidR="00583979">
        <w:t>18</w:t>
      </w:r>
      <w:r w:rsidRPr="00D776E7">
        <w:t>.</w:t>
      </w:r>
      <w:r w:rsidRPr="00D776E7">
        <w:tab/>
        <w:t>Are you proposing changes to SDG&amp;E Appendix IX?</w:t>
      </w:r>
    </w:p>
    <w:p w14:paraId="680D1EA0" w14:textId="13F816F5" w:rsidR="000372E6" w:rsidRDefault="00C34CAF" w:rsidP="00CB3AB6">
      <w:pPr>
        <w:pStyle w:val="BodyText2"/>
        <w:rPr>
          <w:color w:val="auto"/>
        </w:rPr>
      </w:pPr>
      <w:r w:rsidRPr="00D776E7">
        <w:rPr>
          <w:color w:val="auto"/>
        </w:rPr>
        <w:t>A</w:t>
      </w:r>
      <w:r w:rsidR="00583979">
        <w:rPr>
          <w:color w:val="auto"/>
        </w:rPr>
        <w:t>18</w:t>
      </w:r>
      <w:r w:rsidRPr="00D776E7">
        <w:rPr>
          <w:color w:val="auto"/>
        </w:rPr>
        <w:t>.</w:t>
      </w:r>
      <w:r w:rsidRPr="00D776E7">
        <w:rPr>
          <w:color w:val="auto"/>
        </w:rPr>
        <w:tab/>
        <w:t xml:space="preserve">Yes.  </w:t>
      </w:r>
      <w:r w:rsidR="00E176F4" w:rsidRPr="00D776E7">
        <w:rPr>
          <w:color w:val="auto"/>
        </w:rPr>
        <w:t xml:space="preserve">SDG&amp;E </w:t>
      </w:r>
      <w:r w:rsidR="004D2BCA" w:rsidRPr="00D776E7">
        <w:rPr>
          <w:color w:val="auto"/>
        </w:rPr>
        <w:t xml:space="preserve">proposes </w:t>
      </w:r>
      <w:r w:rsidR="000372E6">
        <w:rPr>
          <w:color w:val="auto"/>
        </w:rPr>
        <w:t>the following updates to Appendix IX:</w:t>
      </w:r>
    </w:p>
    <w:p w14:paraId="2E92C22F" w14:textId="0A9354A9" w:rsidR="00525F4A" w:rsidRPr="003B4C35" w:rsidRDefault="003B4C35" w:rsidP="003B4C35">
      <w:pPr>
        <w:pStyle w:val="BodyText2"/>
        <w:numPr>
          <w:ilvl w:val="0"/>
          <w:numId w:val="30"/>
        </w:numPr>
        <w:rPr>
          <w:color w:val="auto"/>
        </w:rPr>
      </w:pPr>
      <w:r>
        <w:t xml:space="preserve">To update the policy when historical or forecasted billing determinants are zero due to a lack of historical data, </w:t>
      </w:r>
      <w:r>
        <w:rPr>
          <w:color w:val="auto"/>
        </w:rPr>
        <w:t>i</w:t>
      </w:r>
      <w:r w:rsidRPr="003B4C35">
        <w:rPr>
          <w:color w:val="auto"/>
        </w:rPr>
        <w:t xml:space="preserve">n </w:t>
      </w:r>
      <w:r w:rsidR="00525F4A" w:rsidRPr="003B4C35">
        <w:rPr>
          <w:color w:val="auto"/>
        </w:rPr>
        <w:t>Section</w:t>
      </w:r>
      <w:r w:rsidR="001502FA" w:rsidRPr="003B4C35">
        <w:rPr>
          <w:color w:val="auto"/>
        </w:rPr>
        <w:t>s</w:t>
      </w:r>
      <w:r w:rsidR="00525F4A" w:rsidRPr="003B4C35">
        <w:rPr>
          <w:color w:val="auto"/>
        </w:rPr>
        <w:t xml:space="preserve"> </w:t>
      </w:r>
      <w:r w:rsidR="001502FA" w:rsidRPr="003B4C35">
        <w:rPr>
          <w:color w:val="auto"/>
        </w:rPr>
        <w:t xml:space="preserve">B.1 and </w:t>
      </w:r>
      <w:r w:rsidR="00525F4A" w:rsidRPr="003B4C35">
        <w:rPr>
          <w:color w:val="auto"/>
        </w:rPr>
        <w:t>B.3, add in</w:t>
      </w:r>
      <w:r w:rsidR="00A62AED" w:rsidRPr="003B4C35">
        <w:rPr>
          <w:color w:val="auto"/>
        </w:rPr>
        <w:t>: (1)</w:t>
      </w:r>
      <w:r w:rsidR="00452D30">
        <w:rPr>
          <w:color w:val="auto"/>
        </w:rPr>
        <w:t xml:space="preserve"> </w:t>
      </w:r>
      <w:r w:rsidR="001502FA" w:rsidRPr="003B4C35">
        <w:rPr>
          <w:color w:val="auto"/>
        </w:rPr>
        <w:t>“</w:t>
      </w:r>
      <w:r w:rsidR="001502FA">
        <w:t>If the 12-month average coincident peak data is zero, the most recent year of available values will be used until updated non-zero 12-month average coincident peak data is available</w:t>
      </w:r>
      <w:r w:rsidR="00452D30">
        <w:t>;</w:t>
      </w:r>
      <w:r w:rsidR="001502FA">
        <w:t xml:space="preserve">” and </w:t>
      </w:r>
      <w:r w:rsidR="00A62AED">
        <w:t xml:space="preserve">(2) </w:t>
      </w:r>
      <w:r w:rsidR="00525F4A" w:rsidRPr="003B4C35">
        <w:rPr>
          <w:color w:val="auto"/>
        </w:rPr>
        <w:t>“</w:t>
      </w:r>
      <w:r w:rsidR="00525F4A">
        <w:t>If the End Use Customer billing determinants applicable to the Rate Effective Period are unavailable but the End Use Customer class is still allocated a portion of the revenue requirement, the most recent year with End Use Customer billing determinants will be used as a placeholder until updated billing determinants applicable to the Rate Effective Period are available</w:t>
      </w:r>
      <w:r w:rsidR="00452D30">
        <w:t>.</w:t>
      </w:r>
      <w:r w:rsidR="00525F4A">
        <w:t xml:space="preserve">” </w:t>
      </w:r>
    </w:p>
    <w:p w14:paraId="1E543B00" w14:textId="0D5A2027" w:rsidR="000372E6" w:rsidRDefault="003B4C35" w:rsidP="00CB3AB6">
      <w:pPr>
        <w:pStyle w:val="BodyText2"/>
        <w:numPr>
          <w:ilvl w:val="0"/>
          <w:numId w:val="30"/>
        </w:numPr>
        <w:rPr>
          <w:color w:val="auto"/>
        </w:rPr>
      </w:pPr>
      <w:r>
        <w:rPr>
          <w:color w:val="auto"/>
        </w:rPr>
        <w:t>I</w:t>
      </w:r>
      <w:r w:rsidRPr="00D776E7">
        <w:rPr>
          <w:color w:val="auto"/>
        </w:rPr>
        <w:t>n section A, section B.3, before section B.4., section B.4., section B.4.b., and section B.4.d</w:t>
      </w:r>
      <w:r>
        <w:rPr>
          <w:color w:val="auto"/>
        </w:rPr>
        <w:t>,</w:t>
      </w:r>
      <w:r w:rsidRPr="00D776E7">
        <w:rPr>
          <w:color w:val="auto"/>
        </w:rPr>
        <w:t xml:space="preserve"> </w:t>
      </w:r>
      <w:r>
        <w:rPr>
          <w:color w:val="auto"/>
        </w:rPr>
        <w:t>s</w:t>
      </w:r>
      <w:r w:rsidRPr="00D776E7">
        <w:rPr>
          <w:color w:val="auto"/>
        </w:rPr>
        <w:t xml:space="preserve">eparate </w:t>
      </w:r>
      <w:r w:rsidR="004D2BCA" w:rsidRPr="00D776E7">
        <w:rPr>
          <w:color w:val="auto"/>
        </w:rPr>
        <w:t xml:space="preserve">any instance where “Medium and Large Commercial/Industrial” was combined and replace it to be separated into </w:t>
      </w:r>
      <w:r w:rsidR="00C34CAF" w:rsidRPr="00D776E7">
        <w:rPr>
          <w:color w:val="auto"/>
        </w:rPr>
        <w:t>“</w:t>
      </w:r>
      <w:r w:rsidR="009970B2" w:rsidRPr="00D776E7">
        <w:rPr>
          <w:color w:val="auto"/>
        </w:rPr>
        <w:t>Medium Commercial”</w:t>
      </w:r>
      <w:r w:rsidR="004D2BCA" w:rsidRPr="00D776E7">
        <w:rPr>
          <w:color w:val="auto"/>
        </w:rPr>
        <w:t xml:space="preserve"> and “Large Commercial/Industrial</w:t>
      </w:r>
      <w:r w:rsidR="00CF50F2">
        <w:rPr>
          <w:color w:val="auto"/>
        </w:rPr>
        <w:t>.</w:t>
      </w:r>
      <w:r w:rsidR="004D2BCA" w:rsidRPr="00D776E7">
        <w:rPr>
          <w:color w:val="auto"/>
        </w:rPr>
        <w:t xml:space="preserve">” </w:t>
      </w:r>
    </w:p>
    <w:p w14:paraId="62300DEC" w14:textId="75D50A8F" w:rsidR="000372E6" w:rsidRDefault="000372E6" w:rsidP="00CB3AB6">
      <w:pPr>
        <w:pStyle w:val="BodyText2"/>
        <w:numPr>
          <w:ilvl w:val="0"/>
          <w:numId w:val="30"/>
        </w:numPr>
        <w:rPr>
          <w:color w:val="auto"/>
        </w:rPr>
      </w:pPr>
      <w:r>
        <w:rPr>
          <w:color w:val="auto"/>
        </w:rPr>
        <w:t>A</w:t>
      </w:r>
      <w:r w:rsidR="009970B2" w:rsidRPr="00D776E7">
        <w:rPr>
          <w:color w:val="auto"/>
        </w:rPr>
        <w:t>dd a new B.3.c section</w:t>
      </w:r>
      <w:r w:rsidR="0091376D">
        <w:rPr>
          <w:color w:val="auto"/>
        </w:rPr>
        <w:t>,</w:t>
      </w:r>
      <w:r w:rsidR="009970B2" w:rsidRPr="00D776E7">
        <w:rPr>
          <w:color w:val="auto"/>
        </w:rPr>
        <w:t xml:space="preserve"> which states, “Medium Commercial – forecast metered energy (kWh), forecasted metered maximum non-coincident peak demand (kW), forecast metered maximum monthly demand, forecast seasonally differentiated peak </w:t>
      </w:r>
      <w:r w:rsidR="009970B2" w:rsidRPr="00D776E7">
        <w:rPr>
          <w:color w:val="auto"/>
        </w:rPr>
        <w:lastRenderedPageBreak/>
        <w:t>period demands (kW), and forecast seasonally differentiated monthly coincident peak demand (kW), with seasons, as determined in accordance with SDG&amp;E’s CPUC Tariff, for the Rate Effective Period. For commercial electric vehicle (EV) customers on California Public Utilities Commission (CPUC) Schedule EV-HP, or customers on Schedules TOU-M and OL-TOU, forecasted metered energy (kWh) shall be used for the Rate Effective Period;</w:t>
      </w:r>
      <w:r w:rsidR="00C34CAF" w:rsidRPr="00D776E7">
        <w:rPr>
          <w:color w:val="auto"/>
        </w:rPr>
        <w:t xml:space="preserve">” </w:t>
      </w:r>
    </w:p>
    <w:p w14:paraId="17FD4089" w14:textId="3217391E" w:rsidR="00B94007" w:rsidRDefault="00B94007" w:rsidP="00CB3AB6">
      <w:pPr>
        <w:pStyle w:val="BodyText2"/>
        <w:numPr>
          <w:ilvl w:val="0"/>
          <w:numId w:val="30"/>
        </w:numPr>
        <w:rPr>
          <w:color w:val="auto"/>
        </w:rPr>
      </w:pPr>
      <w:r>
        <w:rPr>
          <w:color w:val="auto"/>
        </w:rPr>
        <w:t>In f</w:t>
      </w:r>
      <w:r w:rsidR="009970B2" w:rsidRPr="00D776E7">
        <w:rPr>
          <w:color w:val="auto"/>
        </w:rPr>
        <w:t xml:space="preserve">ormer </w:t>
      </w:r>
      <w:r w:rsidR="00D134C1" w:rsidRPr="00D776E7">
        <w:rPr>
          <w:color w:val="auto"/>
        </w:rPr>
        <w:t>Section B.3.</w:t>
      </w:r>
      <w:r w:rsidR="009970B2" w:rsidRPr="00D776E7">
        <w:rPr>
          <w:color w:val="auto"/>
        </w:rPr>
        <w:t>c</w:t>
      </w:r>
      <w:r w:rsidR="00CA2F8F">
        <w:rPr>
          <w:color w:val="auto"/>
        </w:rPr>
        <w:t xml:space="preserve"> (</w:t>
      </w:r>
      <w:r w:rsidR="009970B2" w:rsidRPr="00D776E7">
        <w:rPr>
          <w:color w:val="auto"/>
        </w:rPr>
        <w:t>now B.3.d</w:t>
      </w:r>
      <w:r w:rsidR="00CA2F8F">
        <w:rPr>
          <w:color w:val="auto"/>
        </w:rPr>
        <w:t>)</w:t>
      </w:r>
      <w:r w:rsidR="009970B2" w:rsidRPr="00D776E7">
        <w:rPr>
          <w:color w:val="auto"/>
        </w:rPr>
        <w:t xml:space="preserve">, </w:t>
      </w:r>
      <w:r w:rsidR="004D2BCA" w:rsidRPr="00D776E7">
        <w:rPr>
          <w:color w:val="auto"/>
        </w:rPr>
        <w:t>remove t</w:t>
      </w:r>
      <w:r w:rsidR="009970B2" w:rsidRPr="00D776E7">
        <w:rPr>
          <w:color w:val="auto"/>
        </w:rPr>
        <w:t xml:space="preserve">he words “and commercial electric vehicle (EV) customers on California Public Utilities Commission (CPUC) Schedule EV-HP” </w:t>
      </w:r>
      <w:r w:rsidR="004D2BCA" w:rsidRPr="00D776E7">
        <w:rPr>
          <w:color w:val="auto"/>
        </w:rPr>
        <w:t xml:space="preserve">and “Also, Schedule OL-TOU customers pay small commercial rates based on forecast meter energy (kWh) of the small commercial customer class” </w:t>
      </w:r>
      <w:r w:rsidR="00C34CAF" w:rsidRPr="00D776E7">
        <w:rPr>
          <w:color w:val="auto"/>
        </w:rPr>
        <w:t xml:space="preserve">to </w:t>
      </w:r>
      <w:r w:rsidR="004D2BCA" w:rsidRPr="00D776E7">
        <w:rPr>
          <w:color w:val="auto"/>
        </w:rPr>
        <w:t>reflect</w:t>
      </w:r>
      <w:r w:rsidR="00C34CAF" w:rsidRPr="00D776E7">
        <w:rPr>
          <w:color w:val="auto"/>
        </w:rPr>
        <w:t xml:space="preserve"> </w:t>
      </w:r>
      <w:r w:rsidR="004D2BCA" w:rsidRPr="00D776E7">
        <w:rPr>
          <w:color w:val="auto"/>
        </w:rPr>
        <w:t xml:space="preserve">the movement of Schedules EV-HP and OL-TOU to </w:t>
      </w:r>
      <w:r w:rsidR="00C34CAF" w:rsidRPr="00D776E7">
        <w:rPr>
          <w:color w:val="auto"/>
        </w:rPr>
        <w:t xml:space="preserve">SDG&amp;E’s </w:t>
      </w:r>
      <w:r w:rsidR="009970B2" w:rsidRPr="00D776E7">
        <w:rPr>
          <w:color w:val="auto"/>
        </w:rPr>
        <w:t xml:space="preserve">Medium Commercial </w:t>
      </w:r>
      <w:r w:rsidR="004D2BCA" w:rsidRPr="00D776E7">
        <w:rPr>
          <w:color w:val="auto"/>
        </w:rPr>
        <w:t>class</w:t>
      </w:r>
      <w:r>
        <w:rPr>
          <w:color w:val="auto"/>
        </w:rPr>
        <w:t>;</w:t>
      </w:r>
    </w:p>
    <w:p w14:paraId="74AE1A72" w14:textId="291132C6" w:rsidR="00B94007" w:rsidRDefault="00B94007" w:rsidP="00CB3AB6">
      <w:pPr>
        <w:pStyle w:val="BodyText2"/>
        <w:numPr>
          <w:ilvl w:val="0"/>
          <w:numId w:val="30"/>
        </w:numPr>
        <w:rPr>
          <w:color w:val="auto"/>
        </w:rPr>
      </w:pPr>
      <w:r>
        <w:rPr>
          <w:color w:val="auto"/>
        </w:rPr>
        <w:t>C</w:t>
      </w:r>
      <w:r w:rsidR="004D2BCA" w:rsidRPr="00D776E7">
        <w:rPr>
          <w:color w:val="auto"/>
        </w:rPr>
        <w:t xml:space="preserve">reate a new </w:t>
      </w:r>
      <w:r w:rsidR="00CB4A47">
        <w:rPr>
          <w:color w:val="auto"/>
        </w:rPr>
        <w:t xml:space="preserve">section </w:t>
      </w:r>
      <w:r w:rsidR="004D2BCA" w:rsidRPr="00D776E7">
        <w:rPr>
          <w:color w:val="auto"/>
        </w:rPr>
        <w:t>B.4.a</w:t>
      </w:r>
      <w:r w:rsidR="000B277B">
        <w:rPr>
          <w:color w:val="auto"/>
        </w:rPr>
        <w:t>,</w:t>
      </w:r>
      <w:r w:rsidR="004D2BCA" w:rsidRPr="00D776E7">
        <w:rPr>
          <w:color w:val="auto"/>
        </w:rPr>
        <w:t xml:space="preserve"> which will state</w:t>
      </w:r>
      <w:bookmarkStart w:id="2" w:name="_Hlk73022224"/>
      <w:r w:rsidR="006956EE" w:rsidRPr="00D776E7">
        <w:rPr>
          <w:color w:val="auto"/>
        </w:rPr>
        <w:t xml:space="preserve"> “</w:t>
      </w:r>
      <w:bookmarkEnd w:id="2"/>
      <w:r w:rsidR="004D2BCA" w:rsidRPr="00AC1C3E">
        <w:rPr>
          <w:color w:val="auto"/>
        </w:rPr>
        <w:t>For the Medium Commercial class, 25 percent of the allocated revenue requirement is allocated to recovery through a flat volumetric rate calculated by dividing the 25 percent of the allocated revenue requirement by the forecast metered energy (kWh) for the Rate Effective Period. The remaining 75 percent of the allocated Medium Commercial revenue requirement continues to the next step.</w:t>
      </w:r>
      <w:r w:rsidR="00D134C1" w:rsidRPr="00D776E7">
        <w:rPr>
          <w:color w:val="auto"/>
        </w:rPr>
        <w:t>”</w:t>
      </w:r>
      <w:r w:rsidR="00D776E7" w:rsidRPr="00D776E7">
        <w:rPr>
          <w:color w:val="auto"/>
        </w:rPr>
        <w:t xml:space="preserve"> </w:t>
      </w:r>
    </w:p>
    <w:p w14:paraId="188AA147" w14:textId="17E424B1" w:rsidR="00B94007" w:rsidRDefault="000B277B" w:rsidP="00CB3AB6">
      <w:pPr>
        <w:pStyle w:val="BodyText2"/>
        <w:numPr>
          <w:ilvl w:val="0"/>
          <w:numId w:val="30"/>
        </w:numPr>
        <w:rPr>
          <w:color w:val="auto"/>
        </w:rPr>
      </w:pPr>
      <w:r>
        <w:rPr>
          <w:color w:val="auto"/>
        </w:rPr>
        <w:t>T</w:t>
      </w:r>
      <w:r w:rsidRPr="00D776E7">
        <w:rPr>
          <w:color w:val="auto"/>
        </w:rPr>
        <w:t>o add clarity for Appendix IX</w:t>
      </w:r>
      <w:r>
        <w:rPr>
          <w:color w:val="auto"/>
        </w:rPr>
        <w:t>, t</w:t>
      </w:r>
      <w:r w:rsidR="00D776E7" w:rsidRPr="00D776E7">
        <w:rPr>
          <w:color w:val="auto"/>
        </w:rPr>
        <w:t>he new</w:t>
      </w:r>
      <w:r w:rsidR="006956EE" w:rsidRPr="00D776E7">
        <w:rPr>
          <w:color w:val="auto"/>
        </w:rPr>
        <w:t xml:space="preserve"> Section B.3.</w:t>
      </w:r>
      <w:r w:rsidR="00D776E7" w:rsidRPr="00D776E7">
        <w:rPr>
          <w:color w:val="auto"/>
        </w:rPr>
        <w:t>b will state</w:t>
      </w:r>
      <w:r>
        <w:rPr>
          <w:color w:val="auto"/>
        </w:rPr>
        <w:t>,</w:t>
      </w:r>
      <w:r w:rsidR="00D776E7" w:rsidRPr="00D776E7">
        <w:rPr>
          <w:color w:val="auto"/>
        </w:rPr>
        <w:t xml:space="preserve"> “The maximum non-coincident demand charge shall be determined as the remaining revenue requirement allocated to the Medium Commercial or full revenue requirement allocated to the Large Commercial/Industrial Class described in paragraph “1” </w:t>
      </w:r>
      <w:r w:rsidR="00D776E7" w:rsidRPr="00D776E7">
        <w:rPr>
          <w:color w:val="auto"/>
        </w:rPr>
        <w:lastRenderedPageBreak/>
        <w:t xml:space="preserve">divided by the forecast metered maximum non coincident peak demand (kW) for the Rate Effective Period.” </w:t>
      </w:r>
    </w:p>
    <w:p w14:paraId="1F86C657" w14:textId="73ABF504" w:rsidR="00FE076C" w:rsidRPr="00D776E7" w:rsidRDefault="00B94007" w:rsidP="00CB3AB6">
      <w:pPr>
        <w:pStyle w:val="BodyText2"/>
        <w:numPr>
          <w:ilvl w:val="0"/>
          <w:numId w:val="30"/>
        </w:numPr>
        <w:rPr>
          <w:color w:val="auto"/>
        </w:rPr>
      </w:pPr>
      <w:r>
        <w:rPr>
          <w:color w:val="auto"/>
        </w:rPr>
        <w:t>F</w:t>
      </w:r>
      <w:r w:rsidR="00D776E7" w:rsidRPr="00D776E7">
        <w:rPr>
          <w:color w:val="auto"/>
        </w:rPr>
        <w:t xml:space="preserve">inally, </w:t>
      </w:r>
      <w:r w:rsidR="00F26AA5" w:rsidRPr="00D776E7">
        <w:rPr>
          <w:color w:val="auto"/>
        </w:rPr>
        <w:t>to differentiate the rate schedules for the classes</w:t>
      </w:r>
      <w:r w:rsidR="00F26AA5">
        <w:rPr>
          <w:color w:val="auto"/>
        </w:rPr>
        <w:t>,</w:t>
      </w:r>
      <w:r w:rsidR="00F26AA5" w:rsidRPr="00D776E7">
        <w:rPr>
          <w:color w:val="auto"/>
        </w:rPr>
        <w:t xml:space="preserve"> </w:t>
      </w:r>
      <w:r w:rsidR="00D776E7" w:rsidRPr="00D776E7">
        <w:rPr>
          <w:color w:val="auto"/>
        </w:rPr>
        <w:t>Section B.4.d will state</w:t>
      </w:r>
      <w:r w:rsidR="006E0712">
        <w:rPr>
          <w:color w:val="auto"/>
        </w:rPr>
        <w:t>,</w:t>
      </w:r>
      <w:r w:rsidR="00D776E7" w:rsidRPr="00D776E7">
        <w:rPr>
          <w:color w:val="auto"/>
        </w:rPr>
        <w:t xml:space="preserve"> “For Medium Commercial Rate Schedules AL-TOU-M and DG-R-M and Large Commercial/Industrial Rate Schedules AL-TOU</w:t>
      </w:r>
      <w:r w:rsidR="00FD73AA">
        <w:rPr>
          <w:color w:val="auto"/>
        </w:rPr>
        <w:t>-L</w:t>
      </w:r>
      <w:r w:rsidR="00D776E7" w:rsidRPr="00D776E7">
        <w:rPr>
          <w:color w:val="auto"/>
        </w:rPr>
        <w:t>, AL-TOU2, and DG-R</w:t>
      </w:r>
      <w:r w:rsidR="00FD73AA">
        <w:rPr>
          <w:color w:val="auto"/>
        </w:rPr>
        <w:t>-L</w:t>
      </w:r>
      <w:r w:rsidR="00D776E7" w:rsidRPr="00D776E7">
        <w:rPr>
          <w:color w:val="auto"/>
        </w:rPr>
        <w:t>, the residual 10% of revenue referenced in paragraph “4.</w:t>
      </w:r>
      <w:r w:rsidR="009D715B">
        <w:rPr>
          <w:color w:val="auto"/>
        </w:rPr>
        <w:t>c</w:t>
      </w:r>
      <w:r w:rsidR="00D776E7" w:rsidRPr="00D776E7">
        <w:rPr>
          <w:color w:val="auto"/>
        </w:rPr>
        <w:t>” above shall be recovered through a seasonally-differentiated peak period demand charge.”</w:t>
      </w:r>
    </w:p>
    <w:p w14:paraId="78178ABD" w14:textId="4CA1D482" w:rsidR="00D134C1" w:rsidRPr="00FD73AA" w:rsidRDefault="00D134C1" w:rsidP="00CB3AB6">
      <w:pPr>
        <w:pStyle w:val="BodyText"/>
      </w:pPr>
      <w:r w:rsidRPr="00FD73AA">
        <w:t>Q</w:t>
      </w:r>
      <w:r w:rsidR="00583979">
        <w:t>19</w:t>
      </w:r>
      <w:r w:rsidRPr="00FD73AA">
        <w:t>.</w:t>
      </w:r>
      <w:r w:rsidRPr="00FD73AA">
        <w:tab/>
        <w:t xml:space="preserve">Are you proposing any other changes </w:t>
      </w:r>
      <w:r w:rsidR="00FD73AA">
        <w:t xml:space="preserve">to </w:t>
      </w:r>
      <w:r w:rsidRPr="00FD73AA">
        <w:t>SDG&amp;E Appendix IX?</w:t>
      </w:r>
    </w:p>
    <w:p w14:paraId="56E89160" w14:textId="7C9C6EFD" w:rsidR="00D935AE" w:rsidRDefault="00D134C1" w:rsidP="00FD73AA">
      <w:pPr>
        <w:pStyle w:val="BodyText2"/>
        <w:rPr>
          <w:color w:val="auto"/>
        </w:rPr>
      </w:pPr>
      <w:r w:rsidRPr="00FD73AA">
        <w:rPr>
          <w:color w:val="auto"/>
        </w:rPr>
        <w:t>A</w:t>
      </w:r>
      <w:r w:rsidR="00583979">
        <w:rPr>
          <w:color w:val="auto"/>
        </w:rPr>
        <w:t>19</w:t>
      </w:r>
      <w:r w:rsidRPr="00FD73AA">
        <w:rPr>
          <w:color w:val="auto"/>
        </w:rPr>
        <w:t>.</w:t>
      </w:r>
      <w:r w:rsidRPr="00FD73AA">
        <w:rPr>
          <w:color w:val="auto"/>
        </w:rPr>
        <w:tab/>
      </w:r>
      <w:r w:rsidR="001370E7">
        <w:rPr>
          <w:color w:val="auto"/>
        </w:rPr>
        <w:t>Yes, SDG&amp;E also proposes the following updates:</w:t>
      </w:r>
    </w:p>
    <w:p w14:paraId="2E666134" w14:textId="06107117" w:rsidR="001370E7" w:rsidRPr="00317883" w:rsidRDefault="001370E7">
      <w:pPr>
        <w:pStyle w:val="BodyText2"/>
        <w:numPr>
          <w:ilvl w:val="0"/>
          <w:numId w:val="30"/>
        </w:numPr>
        <w:rPr>
          <w:color w:val="auto"/>
        </w:rPr>
      </w:pPr>
      <w:r w:rsidRPr="00317883">
        <w:rPr>
          <w:color w:val="auto"/>
        </w:rPr>
        <w:t>Remove section B.2 and associated references in Sections B.3</w:t>
      </w:r>
      <w:r w:rsidR="00211319">
        <w:rPr>
          <w:color w:val="auto"/>
        </w:rPr>
        <w:t xml:space="preserve"> (</w:t>
      </w:r>
      <w:r w:rsidRPr="00317883">
        <w:rPr>
          <w:color w:val="auto"/>
        </w:rPr>
        <w:t>now Section B.2</w:t>
      </w:r>
      <w:r w:rsidR="00211319">
        <w:rPr>
          <w:color w:val="auto"/>
        </w:rPr>
        <w:t>)</w:t>
      </w:r>
      <w:r w:rsidRPr="00317883">
        <w:rPr>
          <w:color w:val="auto"/>
        </w:rPr>
        <w:t xml:space="preserve"> and B.4.b </w:t>
      </w:r>
      <w:r w:rsidR="00211319">
        <w:rPr>
          <w:color w:val="auto"/>
        </w:rPr>
        <w:t>(</w:t>
      </w:r>
      <w:r w:rsidRPr="00317883">
        <w:rPr>
          <w:color w:val="auto"/>
        </w:rPr>
        <w:t>now Section B.3.b</w:t>
      </w:r>
      <w:r w:rsidR="00211319">
        <w:rPr>
          <w:color w:val="auto"/>
        </w:rPr>
        <w:t xml:space="preserve">) </w:t>
      </w:r>
      <w:r w:rsidRPr="00317883">
        <w:rPr>
          <w:color w:val="auto"/>
        </w:rPr>
        <w:t>as the stipulations no longer apply to transmission rate design.</w:t>
      </w:r>
    </w:p>
    <w:p w14:paraId="714B7DD9" w14:textId="697AB462" w:rsidR="00A06C68" w:rsidRPr="00D776E7" w:rsidRDefault="00A06C68" w:rsidP="00CB3AB6">
      <w:pPr>
        <w:pStyle w:val="BodyText"/>
      </w:pPr>
      <w:r w:rsidRPr="00D776E7">
        <w:t>Q</w:t>
      </w:r>
      <w:r w:rsidR="005C22D8" w:rsidRPr="00D776E7">
        <w:t>2</w:t>
      </w:r>
      <w:r w:rsidR="00583979">
        <w:t>0</w:t>
      </w:r>
      <w:r w:rsidRPr="00D776E7">
        <w:t>.</w:t>
      </w:r>
      <w:r w:rsidRPr="00D776E7">
        <w:tab/>
        <w:t>Are you including a complete Appendix IX at this time to incorporate all proposed revisions?</w:t>
      </w:r>
    </w:p>
    <w:p w14:paraId="7827D621" w14:textId="3B2AAE98" w:rsidR="00A06C68" w:rsidRPr="00D776E7" w:rsidRDefault="00A06C68" w:rsidP="00CB3AB6">
      <w:pPr>
        <w:pStyle w:val="BodyText2"/>
        <w:rPr>
          <w:color w:val="auto"/>
        </w:rPr>
      </w:pPr>
      <w:r w:rsidRPr="00D776E7">
        <w:rPr>
          <w:color w:val="auto"/>
        </w:rPr>
        <w:t>A</w:t>
      </w:r>
      <w:r w:rsidR="005C22D8" w:rsidRPr="00D776E7">
        <w:rPr>
          <w:color w:val="auto"/>
        </w:rPr>
        <w:t>2</w:t>
      </w:r>
      <w:r w:rsidR="00583979">
        <w:rPr>
          <w:color w:val="auto"/>
        </w:rPr>
        <w:t>0</w:t>
      </w:r>
      <w:r w:rsidRPr="00D776E7">
        <w:rPr>
          <w:color w:val="auto"/>
        </w:rPr>
        <w:t>.</w:t>
      </w:r>
      <w:r w:rsidRPr="00D776E7">
        <w:rPr>
          <w:color w:val="auto"/>
        </w:rPr>
        <w:tab/>
        <w:t>Yes.  Attachment</w:t>
      </w:r>
      <w:r w:rsidR="00863279">
        <w:rPr>
          <w:color w:val="auto"/>
        </w:rPr>
        <w:t>s A and B</w:t>
      </w:r>
      <w:r w:rsidRPr="00D776E7">
        <w:rPr>
          <w:color w:val="auto"/>
        </w:rPr>
        <w:t xml:space="preserve"> provide Appendix IX that reflects the proposed revisions to Appendix IX, as discussed above.</w:t>
      </w:r>
    </w:p>
    <w:p w14:paraId="55F0104B" w14:textId="223F7118" w:rsidR="00B070F2" w:rsidRPr="00D776E7" w:rsidRDefault="009B523E" w:rsidP="00CB3AB6">
      <w:pPr>
        <w:pStyle w:val="Heading1"/>
      </w:pPr>
      <w:r w:rsidRPr="00D776E7">
        <w:t>CONCLUSION</w:t>
      </w:r>
    </w:p>
    <w:p w14:paraId="75ADF265" w14:textId="14EAF858" w:rsidR="00B070F2" w:rsidRPr="00D776E7" w:rsidRDefault="00B070F2" w:rsidP="00CB3AB6">
      <w:pPr>
        <w:pStyle w:val="BodyText"/>
      </w:pPr>
      <w:r w:rsidRPr="00D776E7">
        <w:t>Q</w:t>
      </w:r>
      <w:r w:rsidR="005C22D8" w:rsidRPr="00D776E7">
        <w:t>2</w:t>
      </w:r>
      <w:r w:rsidR="00583979">
        <w:t>1</w:t>
      </w:r>
      <w:r w:rsidRPr="00D776E7">
        <w:t>.</w:t>
      </w:r>
      <w:r w:rsidRPr="00D776E7">
        <w:tab/>
      </w:r>
      <w:r w:rsidR="009B523E" w:rsidRPr="00D776E7">
        <w:t>Please summarize your conclusions.</w:t>
      </w:r>
    </w:p>
    <w:p w14:paraId="2D391523" w14:textId="71459E53" w:rsidR="00B070F2" w:rsidRPr="00D776E7" w:rsidRDefault="00B070F2" w:rsidP="00CB3AB6">
      <w:pPr>
        <w:pStyle w:val="BodyText2"/>
        <w:rPr>
          <w:color w:val="auto"/>
        </w:rPr>
      </w:pPr>
      <w:r w:rsidRPr="00D776E7">
        <w:rPr>
          <w:color w:val="auto"/>
        </w:rPr>
        <w:t>A</w:t>
      </w:r>
      <w:r w:rsidR="005C22D8" w:rsidRPr="00D776E7">
        <w:rPr>
          <w:color w:val="auto"/>
        </w:rPr>
        <w:t>2</w:t>
      </w:r>
      <w:r w:rsidR="00583979">
        <w:rPr>
          <w:color w:val="auto"/>
        </w:rPr>
        <w:t>1</w:t>
      </w:r>
      <w:r w:rsidRPr="00D776E7">
        <w:rPr>
          <w:color w:val="auto"/>
        </w:rPr>
        <w:t>.</w:t>
      </w:r>
      <w:r w:rsidRPr="00D776E7">
        <w:rPr>
          <w:color w:val="auto"/>
        </w:rPr>
        <w:tab/>
        <w:t>My testimony</w:t>
      </w:r>
      <w:r w:rsidRPr="00D776E7" w:rsidDel="003A5010">
        <w:rPr>
          <w:color w:val="auto"/>
        </w:rPr>
        <w:t xml:space="preserve"> </w:t>
      </w:r>
      <w:r w:rsidR="003A5010">
        <w:rPr>
          <w:color w:val="auto"/>
        </w:rPr>
        <w:t xml:space="preserve">supports </w:t>
      </w:r>
      <w:r w:rsidRPr="00D776E7">
        <w:rPr>
          <w:color w:val="auto"/>
        </w:rPr>
        <w:t xml:space="preserve">SDG&amp;E’s </w:t>
      </w:r>
      <w:r w:rsidR="00BC2A22" w:rsidRPr="00D776E7">
        <w:rPr>
          <w:color w:val="auto"/>
        </w:rPr>
        <w:t>proposal</w:t>
      </w:r>
      <w:r w:rsidR="0075000D" w:rsidRPr="00D776E7">
        <w:rPr>
          <w:color w:val="auto"/>
        </w:rPr>
        <w:t>:</w:t>
      </w:r>
      <w:r w:rsidR="00BC2A22" w:rsidRPr="00D776E7">
        <w:rPr>
          <w:color w:val="auto"/>
        </w:rPr>
        <w:t xml:space="preserve"> </w:t>
      </w:r>
      <w:r w:rsidR="0075000D" w:rsidRPr="00D776E7">
        <w:rPr>
          <w:color w:val="auto"/>
        </w:rPr>
        <w:t xml:space="preserve">(a) </w:t>
      </w:r>
      <w:r w:rsidR="00D776E7" w:rsidRPr="00D776E7">
        <w:rPr>
          <w:color w:val="auto"/>
        </w:rPr>
        <w:t>to incorporate the Medium Commercial class broken out from the Medium &amp; Large Commercial/Industrial class in</w:t>
      </w:r>
      <w:r w:rsidR="00BC2A22" w:rsidRPr="00D776E7">
        <w:rPr>
          <w:color w:val="auto"/>
        </w:rPr>
        <w:t xml:space="preserve"> BTRR and RS</w:t>
      </w:r>
      <w:r w:rsidR="003A5010">
        <w:rPr>
          <w:color w:val="auto"/>
        </w:rPr>
        <w:t>;</w:t>
      </w:r>
      <w:r w:rsidR="00405D2B">
        <w:rPr>
          <w:color w:val="auto"/>
        </w:rPr>
        <w:t xml:space="preserve"> and (</w:t>
      </w:r>
      <w:r w:rsidR="000B65C4">
        <w:rPr>
          <w:color w:val="auto"/>
        </w:rPr>
        <w:t>b</w:t>
      </w:r>
      <w:r w:rsidR="00405D2B">
        <w:rPr>
          <w:color w:val="auto"/>
        </w:rPr>
        <w:t xml:space="preserve">) </w:t>
      </w:r>
      <w:r w:rsidR="00D776E7" w:rsidRPr="00D776E7">
        <w:rPr>
          <w:color w:val="auto"/>
        </w:rPr>
        <w:t>update the policy regarding when sales or other determinants become zero</w:t>
      </w:r>
      <w:r w:rsidR="00BC2A22" w:rsidRPr="00D776E7">
        <w:rPr>
          <w:color w:val="auto"/>
        </w:rPr>
        <w:t>.</w:t>
      </w:r>
      <w:r w:rsidRPr="00D776E7">
        <w:rPr>
          <w:color w:val="auto"/>
        </w:rPr>
        <w:t xml:space="preserve">  </w:t>
      </w:r>
      <w:r w:rsidR="00E45EC1" w:rsidRPr="00D776E7">
        <w:rPr>
          <w:color w:val="auto"/>
        </w:rPr>
        <w:t xml:space="preserve">SDG&amp;E </w:t>
      </w:r>
      <w:r w:rsidR="003A5010">
        <w:rPr>
          <w:color w:val="auto"/>
        </w:rPr>
        <w:t>proposes</w:t>
      </w:r>
      <w:r w:rsidR="00423D44" w:rsidRPr="00D776E7">
        <w:rPr>
          <w:color w:val="auto"/>
        </w:rPr>
        <w:t xml:space="preserve"> </w:t>
      </w:r>
      <w:r w:rsidR="00AB6C4C" w:rsidRPr="00D776E7">
        <w:rPr>
          <w:color w:val="auto"/>
        </w:rPr>
        <w:t>changes to Appendi</w:t>
      </w:r>
      <w:r w:rsidR="00423D44" w:rsidRPr="00D776E7">
        <w:rPr>
          <w:color w:val="auto"/>
        </w:rPr>
        <w:t>ces</w:t>
      </w:r>
      <w:r w:rsidR="00AB6C4C" w:rsidRPr="00D776E7">
        <w:rPr>
          <w:color w:val="auto"/>
        </w:rPr>
        <w:t xml:space="preserve"> </w:t>
      </w:r>
      <w:r w:rsidR="00BC2A22" w:rsidRPr="00D776E7">
        <w:rPr>
          <w:color w:val="auto"/>
        </w:rPr>
        <w:t>VII</w:t>
      </w:r>
      <w:r w:rsidR="00423D44" w:rsidRPr="00D776E7">
        <w:rPr>
          <w:color w:val="auto"/>
        </w:rPr>
        <w:t xml:space="preserve"> and </w:t>
      </w:r>
      <w:r w:rsidR="00AB6C4C" w:rsidRPr="00D776E7">
        <w:rPr>
          <w:color w:val="auto"/>
        </w:rPr>
        <w:t>IX</w:t>
      </w:r>
      <w:r w:rsidR="00BC2A22" w:rsidRPr="00D776E7">
        <w:rPr>
          <w:color w:val="auto"/>
        </w:rPr>
        <w:t xml:space="preserve"> to accommodate th</w:t>
      </w:r>
      <w:r w:rsidR="00CD4532" w:rsidRPr="00D776E7">
        <w:rPr>
          <w:color w:val="auto"/>
        </w:rPr>
        <w:t>e</w:t>
      </w:r>
      <w:r w:rsidR="00BC2A22" w:rsidRPr="00D776E7">
        <w:rPr>
          <w:color w:val="auto"/>
        </w:rPr>
        <w:t>s</w:t>
      </w:r>
      <w:r w:rsidR="00CD4532" w:rsidRPr="00D776E7">
        <w:rPr>
          <w:color w:val="auto"/>
        </w:rPr>
        <w:t>e</w:t>
      </w:r>
      <w:r w:rsidR="00BC2A22" w:rsidRPr="00D776E7">
        <w:rPr>
          <w:color w:val="auto"/>
        </w:rPr>
        <w:t xml:space="preserve"> proposal</w:t>
      </w:r>
      <w:r w:rsidR="00CD4532" w:rsidRPr="00D776E7">
        <w:rPr>
          <w:color w:val="auto"/>
        </w:rPr>
        <w:t>s</w:t>
      </w:r>
      <w:r w:rsidR="0036741E" w:rsidRPr="00D776E7">
        <w:rPr>
          <w:color w:val="auto"/>
        </w:rPr>
        <w:t>, along with</w:t>
      </w:r>
      <w:r w:rsidR="00BC2A22" w:rsidRPr="00D776E7">
        <w:rPr>
          <w:color w:val="auto"/>
        </w:rPr>
        <w:t xml:space="preserve"> general housekeeping </w:t>
      </w:r>
      <w:r w:rsidR="00A06C68" w:rsidRPr="00D776E7">
        <w:rPr>
          <w:color w:val="auto"/>
        </w:rPr>
        <w:t>revisions</w:t>
      </w:r>
      <w:r w:rsidR="00BC2A22" w:rsidRPr="00D776E7">
        <w:rPr>
          <w:color w:val="auto"/>
        </w:rPr>
        <w:t xml:space="preserve"> to these appendices</w:t>
      </w:r>
      <w:r w:rsidR="00D16787" w:rsidRPr="00D776E7">
        <w:rPr>
          <w:color w:val="auto"/>
        </w:rPr>
        <w:t>.</w:t>
      </w:r>
    </w:p>
    <w:p w14:paraId="01ECB0B7" w14:textId="64B638F6" w:rsidR="00B070F2" w:rsidRPr="00D776E7" w:rsidRDefault="00B070F2" w:rsidP="00CB3AB6">
      <w:pPr>
        <w:pStyle w:val="BodyText"/>
      </w:pPr>
      <w:r w:rsidRPr="00D776E7">
        <w:lastRenderedPageBreak/>
        <w:t>Q</w:t>
      </w:r>
      <w:r w:rsidR="005C22D8" w:rsidRPr="00D776E7">
        <w:t>2</w:t>
      </w:r>
      <w:r w:rsidR="00583979">
        <w:t>2</w:t>
      </w:r>
      <w:r w:rsidRPr="00D776E7">
        <w:t>.</w:t>
      </w:r>
      <w:r w:rsidRPr="00D776E7">
        <w:tab/>
        <w:t>What is the proposed effective date of SDG&amp;E’s rate design changes?</w:t>
      </w:r>
    </w:p>
    <w:p w14:paraId="70441D84" w14:textId="344E204A" w:rsidR="00B070F2" w:rsidRPr="00D776E7" w:rsidRDefault="00B070F2" w:rsidP="00CB3AB6">
      <w:pPr>
        <w:pStyle w:val="BodyText2"/>
        <w:rPr>
          <w:color w:val="auto"/>
        </w:rPr>
      </w:pPr>
      <w:r w:rsidRPr="00D776E7">
        <w:rPr>
          <w:color w:val="auto"/>
        </w:rPr>
        <w:t>A</w:t>
      </w:r>
      <w:r w:rsidR="005C22D8" w:rsidRPr="00D776E7">
        <w:rPr>
          <w:color w:val="auto"/>
        </w:rPr>
        <w:t>2</w:t>
      </w:r>
      <w:r w:rsidR="00583979">
        <w:rPr>
          <w:color w:val="auto"/>
        </w:rPr>
        <w:t>2</w:t>
      </w:r>
      <w:r w:rsidRPr="00D776E7">
        <w:rPr>
          <w:color w:val="auto"/>
        </w:rPr>
        <w:t>.</w:t>
      </w:r>
      <w:r w:rsidRPr="00D776E7">
        <w:rPr>
          <w:color w:val="auto"/>
        </w:rPr>
        <w:tab/>
        <w:t xml:space="preserve">SDG&amp;E proposes that the </w:t>
      </w:r>
      <w:r w:rsidR="00F458F0">
        <w:rPr>
          <w:color w:val="auto"/>
        </w:rPr>
        <w:t>Commission approve</w:t>
      </w:r>
      <w:r w:rsidRPr="00D776E7">
        <w:rPr>
          <w:color w:val="auto"/>
        </w:rPr>
        <w:t xml:space="preserve"> </w:t>
      </w:r>
      <w:r w:rsidRPr="00D776E7" w:rsidDel="00212495">
        <w:rPr>
          <w:color w:val="auto"/>
        </w:rPr>
        <w:t xml:space="preserve">the </w:t>
      </w:r>
      <w:r w:rsidR="00212495">
        <w:rPr>
          <w:color w:val="auto"/>
        </w:rPr>
        <w:t xml:space="preserve">proposed changes </w:t>
      </w:r>
      <w:r w:rsidR="00FB7B71">
        <w:rPr>
          <w:color w:val="auto"/>
        </w:rPr>
        <w:t xml:space="preserve">to </w:t>
      </w:r>
      <w:r w:rsidR="004E0C48">
        <w:rPr>
          <w:color w:val="auto"/>
        </w:rPr>
        <w:t xml:space="preserve">Appendices VII and IX </w:t>
      </w:r>
      <w:r w:rsidR="00FB7B71">
        <w:rPr>
          <w:color w:val="auto"/>
        </w:rPr>
        <w:t xml:space="preserve">for </w:t>
      </w:r>
      <w:r w:rsidR="00AC55C9" w:rsidRPr="00D776E7">
        <w:rPr>
          <w:color w:val="auto"/>
        </w:rPr>
        <w:t>Medium Commercial customers on CPUC Schedules AL-TOU-M, DG-R-M, EV-HP, TOU-M, and OL-TOU and Large Commercial</w:t>
      </w:r>
      <w:r w:rsidR="00421063">
        <w:rPr>
          <w:color w:val="auto"/>
        </w:rPr>
        <w:t>/</w:t>
      </w:r>
      <w:r w:rsidR="00AC55C9" w:rsidRPr="00D776E7">
        <w:rPr>
          <w:color w:val="auto"/>
        </w:rPr>
        <w:t xml:space="preserve">Industrial </w:t>
      </w:r>
      <w:r w:rsidR="00BC2A22" w:rsidRPr="00D776E7">
        <w:rPr>
          <w:color w:val="auto"/>
        </w:rPr>
        <w:t xml:space="preserve">customers </w:t>
      </w:r>
      <w:r w:rsidR="00FE076C" w:rsidRPr="00D776E7">
        <w:rPr>
          <w:color w:val="auto"/>
        </w:rPr>
        <w:t xml:space="preserve">on </w:t>
      </w:r>
      <w:r w:rsidR="00CD4532" w:rsidRPr="00D776E7">
        <w:rPr>
          <w:color w:val="auto"/>
        </w:rPr>
        <w:t>CPUC Schedule</w:t>
      </w:r>
      <w:r w:rsidR="00AC55C9" w:rsidRPr="00D776E7">
        <w:rPr>
          <w:color w:val="auto"/>
        </w:rPr>
        <w:t>s</w:t>
      </w:r>
      <w:r w:rsidR="00CD4532" w:rsidRPr="00D776E7">
        <w:rPr>
          <w:color w:val="auto"/>
        </w:rPr>
        <w:t xml:space="preserve"> </w:t>
      </w:r>
      <w:r w:rsidR="00AC55C9" w:rsidRPr="00D776E7">
        <w:rPr>
          <w:color w:val="auto"/>
        </w:rPr>
        <w:t>AL-TOU</w:t>
      </w:r>
      <w:r w:rsidR="00363C05">
        <w:rPr>
          <w:color w:val="auto"/>
        </w:rPr>
        <w:t>-L</w:t>
      </w:r>
      <w:r w:rsidR="00AC55C9" w:rsidRPr="00D776E7">
        <w:rPr>
          <w:color w:val="auto"/>
        </w:rPr>
        <w:t>, DG-R</w:t>
      </w:r>
      <w:r w:rsidR="00363C05">
        <w:rPr>
          <w:color w:val="auto"/>
        </w:rPr>
        <w:t>-L</w:t>
      </w:r>
      <w:r w:rsidR="00AC55C9" w:rsidRPr="00D776E7">
        <w:rPr>
          <w:color w:val="auto"/>
        </w:rPr>
        <w:t xml:space="preserve">, AL-TOU-2 </w:t>
      </w:r>
      <w:r w:rsidR="00C86FDC">
        <w:rPr>
          <w:color w:val="auto"/>
        </w:rPr>
        <w:t xml:space="preserve">by November 30, 2026, </w:t>
      </w:r>
      <w:r w:rsidR="009D042B">
        <w:rPr>
          <w:color w:val="auto"/>
        </w:rPr>
        <w:t xml:space="preserve">to </w:t>
      </w:r>
      <w:r w:rsidR="00FE076C" w:rsidRPr="00D776E7">
        <w:rPr>
          <w:color w:val="auto"/>
        </w:rPr>
        <w:t xml:space="preserve">become effective </w:t>
      </w:r>
      <w:r w:rsidRPr="00D776E7">
        <w:rPr>
          <w:color w:val="auto"/>
        </w:rPr>
        <w:t xml:space="preserve">as of </w:t>
      </w:r>
      <w:r w:rsidR="00BC2A22" w:rsidRPr="00D776E7">
        <w:rPr>
          <w:color w:val="auto"/>
        </w:rPr>
        <w:t>January</w:t>
      </w:r>
      <w:r w:rsidRPr="00D776E7">
        <w:rPr>
          <w:color w:val="auto"/>
        </w:rPr>
        <w:t xml:space="preserve"> 1, 20</w:t>
      </w:r>
      <w:r w:rsidR="00BC2A22" w:rsidRPr="00D776E7">
        <w:rPr>
          <w:color w:val="auto"/>
        </w:rPr>
        <w:t>2</w:t>
      </w:r>
      <w:r w:rsidR="00D776E7" w:rsidRPr="00D776E7">
        <w:rPr>
          <w:color w:val="auto"/>
        </w:rPr>
        <w:t>7</w:t>
      </w:r>
      <w:r w:rsidRPr="00D776E7">
        <w:rPr>
          <w:color w:val="auto"/>
        </w:rPr>
        <w:t xml:space="preserve">, concurrently with </w:t>
      </w:r>
      <w:r w:rsidR="00BC2A22" w:rsidRPr="00D776E7">
        <w:rPr>
          <w:color w:val="auto"/>
        </w:rPr>
        <w:t>the implementation</w:t>
      </w:r>
      <w:r w:rsidR="00D776E7" w:rsidRPr="00D776E7">
        <w:rPr>
          <w:color w:val="auto"/>
        </w:rPr>
        <w:t xml:space="preserve"> date of TO6 Cycle 3</w:t>
      </w:r>
      <w:r w:rsidRPr="00D776E7">
        <w:rPr>
          <w:color w:val="auto"/>
        </w:rPr>
        <w:t>.</w:t>
      </w:r>
      <w:r w:rsidR="00FE076C" w:rsidRPr="00D776E7">
        <w:rPr>
          <w:color w:val="auto"/>
        </w:rPr>
        <w:t xml:space="preserve"> </w:t>
      </w:r>
      <w:r w:rsidR="00E45EC1" w:rsidRPr="00D776E7">
        <w:rPr>
          <w:color w:val="auto"/>
        </w:rPr>
        <w:t>If the proposed changes to Appendi</w:t>
      </w:r>
      <w:r w:rsidR="009D2C83">
        <w:rPr>
          <w:color w:val="auto"/>
        </w:rPr>
        <w:t>ces</w:t>
      </w:r>
      <w:r w:rsidR="00E45EC1" w:rsidRPr="00D776E7">
        <w:rPr>
          <w:color w:val="auto"/>
        </w:rPr>
        <w:t xml:space="preserve"> VII and IX are approved in this filing, SDG&amp;E will apply the revisions to the 202</w:t>
      </w:r>
      <w:r w:rsidR="00D776E7" w:rsidRPr="00D776E7">
        <w:rPr>
          <w:color w:val="auto"/>
        </w:rPr>
        <w:t>7</w:t>
      </w:r>
      <w:r w:rsidR="00E45EC1" w:rsidRPr="00D776E7">
        <w:rPr>
          <w:color w:val="auto"/>
        </w:rPr>
        <w:t xml:space="preserve"> Statements BL, BG, and BH to be filed in SDG&amp;E’s TO</w:t>
      </w:r>
      <w:r w:rsidR="00D776E7" w:rsidRPr="00D776E7">
        <w:rPr>
          <w:color w:val="auto"/>
        </w:rPr>
        <w:t>6</w:t>
      </w:r>
      <w:r w:rsidR="00E45EC1" w:rsidRPr="00D776E7">
        <w:rPr>
          <w:color w:val="auto"/>
        </w:rPr>
        <w:t xml:space="preserve"> Cycle </w:t>
      </w:r>
      <w:r w:rsidR="00D776E7" w:rsidRPr="00D776E7">
        <w:rPr>
          <w:color w:val="auto"/>
        </w:rPr>
        <w:t xml:space="preserve">3 </w:t>
      </w:r>
      <w:r w:rsidR="00E45EC1" w:rsidRPr="00D776E7">
        <w:rPr>
          <w:color w:val="auto"/>
        </w:rPr>
        <w:t>and 202</w:t>
      </w:r>
      <w:r w:rsidR="00D776E7" w:rsidRPr="00D776E7">
        <w:rPr>
          <w:color w:val="auto"/>
        </w:rPr>
        <w:t>7</w:t>
      </w:r>
      <w:r w:rsidR="00E45EC1" w:rsidRPr="00D776E7">
        <w:rPr>
          <w:color w:val="auto"/>
        </w:rPr>
        <w:t xml:space="preserve"> RS filings.   </w:t>
      </w:r>
      <w:r w:rsidR="00FE076C" w:rsidRPr="00D776E7">
        <w:rPr>
          <w:color w:val="auto"/>
        </w:rPr>
        <w:t xml:space="preserve"> </w:t>
      </w:r>
      <w:r w:rsidRPr="00D776E7">
        <w:rPr>
          <w:color w:val="auto"/>
        </w:rPr>
        <w:t xml:space="preserve">  </w:t>
      </w:r>
    </w:p>
    <w:p w14:paraId="002D4446" w14:textId="2406BA2D" w:rsidR="00B27073" w:rsidRPr="00D776E7" w:rsidRDefault="00D83E40" w:rsidP="00CB3AB6">
      <w:pPr>
        <w:pStyle w:val="BodyText"/>
      </w:pPr>
      <w:r w:rsidRPr="00D776E7">
        <w:t>Q</w:t>
      </w:r>
      <w:r w:rsidR="00A06C68" w:rsidRPr="00D776E7">
        <w:t>2</w:t>
      </w:r>
      <w:r w:rsidR="00583979">
        <w:t>3</w:t>
      </w:r>
      <w:r w:rsidR="00B27073" w:rsidRPr="00D776E7">
        <w:t>.</w:t>
      </w:r>
      <w:r w:rsidR="00B27073" w:rsidRPr="00D776E7">
        <w:tab/>
        <w:t>Does this conclude your testimony?</w:t>
      </w:r>
    </w:p>
    <w:p w14:paraId="63A0EA73" w14:textId="4213095C" w:rsidR="00B27073" w:rsidRPr="00D776E7" w:rsidRDefault="00D83E40" w:rsidP="00CB3AB6">
      <w:pPr>
        <w:pStyle w:val="BodyText2"/>
        <w:rPr>
          <w:color w:val="auto"/>
        </w:rPr>
      </w:pPr>
      <w:r w:rsidRPr="00D776E7">
        <w:rPr>
          <w:color w:val="auto"/>
        </w:rPr>
        <w:t>A2</w:t>
      </w:r>
      <w:r w:rsidR="00583979">
        <w:rPr>
          <w:color w:val="auto"/>
        </w:rPr>
        <w:t>3</w:t>
      </w:r>
      <w:r w:rsidR="00B27073" w:rsidRPr="00D776E7">
        <w:rPr>
          <w:color w:val="auto"/>
        </w:rPr>
        <w:t>.</w:t>
      </w:r>
      <w:r w:rsidR="00B27073" w:rsidRPr="00D776E7">
        <w:rPr>
          <w:color w:val="auto"/>
        </w:rPr>
        <w:tab/>
        <w:t>Yes, it does.</w:t>
      </w:r>
    </w:p>
    <w:p w14:paraId="099A3954" w14:textId="77777777" w:rsidR="00B070F2" w:rsidRPr="00D776E7" w:rsidRDefault="00B070F2" w:rsidP="00CB3AB6">
      <w:pPr>
        <w:tabs>
          <w:tab w:val="left" w:pos="720"/>
        </w:tabs>
        <w:autoSpaceDE w:val="0"/>
        <w:autoSpaceDN w:val="0"/>
        <w:adjustRightInd w:val="0"/>
        <w:spacing w:line="360" w:lineRule="auto"/>
        <w:rPr>
          <w:rFonts w:cs="Times New Roman"/>
        </w:rPr>
        <w:sectPr w:rsidR="00B070F2" w:rsidRPr="00D776E7" w:rsidSect="00A350D7">
          <w:headerReference w:type="default" r:id="rId14"/>
          <w:footerReference w:type="default" r:id="rId15"/>
          <w:headerReference w:type="first" r:id="rId16"/>
          <w:footerReference w:type="first" r:id="rId17"/>
          <w:pgSz w:w="12240" w:h="15840" w:code="1"/>
          <w:pgMar w:top="1440" w:right="1440" w:bottom="1440" w:left="1440" w:header="720" w:footer="720" w:gutter="0"/>
          <w:pgBorders>
            <w:left w:val="double" w:sz="4" w:space="4" w:color="auto"/>
          </w:pgBorders>
          <w:lnNumType w:countBy="1"/>
          <w:pgNumType w:start="1"/>
          <w:cols w:space="720"/>
          <w:docGrid w:linePitch="360"/>
        </w:sectPr>
      </w:pPr>
    </w:p>
    <w:p w14:paraId="7C960A4D" w14:textId="77777777" w:rsidR="00B070F2" w:rsidRPr="00D776E7" w:rsidRDefault="00B070F2" w:rsidP="00CB3AB6">
      <w:pPr>
        <w:spacing w:line="360" w:lineRule="auto"/>
        <w:jc w:val="center"/>
        <w:rPr>
          <w:rFonts w:cs="Times New Roman"/>
        </w:rPr>
      </w:pPr>
      <w:r w:rsidRPr="00D776E7">
        <w:rPr>
          <w:rFonts w:cs="Times New Roman"/>
        </w:rPr>
        <w:lastRenderedPageBreak/>
        <w:t>VERIFICATION</w:t>
      </w:r>
    </w:p>
    <w:p w14:paraId="2316346B" w14:textId="77777777" w:rsidR="00B070F2" w:rsidRPr="00D776E7" w:rsidRDefault="00B070F2" w:rsidP="00CB3AB6">
      <w:pPr>
        <w:suppressLineNumbers/>
        <w:tabs>
          <w:tab w:val="left" w:pos="2880"/>
        </w:tabs>
        <w:autoSpaceDE w:val="0"/>
        <w:autoSpaceDN w:val="0"/>
        <w:adjustRightInd w:val="0"/>
        <w:spacing w:line="360" w:lineRule="auto"/>
        <w:rPr>
          <w:rFonts w:cs="Times New Roman"/>
        </w:rPr>
      </w:pPr>
    </w:p>
    <w:p w14:paraId="364720AD" w14:textId="77777777" w:rsidR="00B070F2" w:rsidRPr="00D776E7" w:rsidRDefault="00B070F2" w:rsidP="00CB3AB6">
      <w:pPr>
        <w:suppressLineNumbers/>
        <w:tabs>
          <w:tab w:val="left" w:pos="2880"/>
        </w:tabs>
        <w:autoSpaceDE w:val="0"/>
        <w:autoSpaceDN w:val="0"/>
        <w:adjustRightInd w:val="0"/>
        <w:rPr>
          <w:rFonts w:cs="Times New Roman"/>
        </w:rPr>
      </w:pPr>
      <w:r w:rsidRPr="00D776E7">
        <w:rPr>
          <w:rFonts w:cs="Times New Roman"/>
        </w:rPr>
        <w:t xml:space="preserve">State of California </w:t>
      </w:r>
      <w:r w:rsidRPr="00D776E7">
        <w:rPr>
          <w:rFonts w:cs="Times New Roman"/>
        </w:rPr>
        <w:tab/>
        <w:t>)</w:t>
      </w:r>
    </w:p>
    <w:p w14:paraId="377E5D9D" w14:textId="77777777" w:rsidR="00B070F2" w:rsidRPr="00D776E7" w:rsidRDefault="00B070F2" w:rsidP="00CB3AB6">
      <w:pPr>
        <w:suppressLineNumbers/>
        <w:tabs>
          <w:tab w:val="left" w:pos="2880"/>
          <w:tab w:val="left" w:pos="3600"/>
        </w:tabs>
        <w:autoSpaceDE w:val="0"/>
        <w:autoSpaceDN w:val="0"/>
        <w:adjustRightInd w:val="0"/>
        <w:rPr>
          <w:rFonts w:cs="Times New Roman"/>
        </w:rPr>
      </w:pPr>
      <w:r w:rsidRPr="00D776E7">
        <w:rPr>
          <w:rFonts w:cs="Times New Roman"/>
        </w:rPr>
        <w:t xml:space="preserve">County of San Diego </w:t>
      </w:r>
      <w:r w:rsidRPr="00D776E7">
        <w:rPr>
          <w:rFonts w:cs="Times New Roman"/>
        </w:rPr>
        <w:tab/>
        <w:t>)</w:t>
      </w:r>
    </w:p>
    <w:p w14:paraId="05DA266E" w14:textId="77777777" w:rsidR="00B070F2" w:rsidRPr="00D776E7" w:rsidRDefault="00B070F2" w:rsidP="00CB3AB6">
      <w:pPr>
        <w:suppressLineNumbers/>
        <w:autoSpaceDE w:val="0"/>
        <w:autoSpaceDN w:val="0"/>
        <w:adjustRightInd w:val="0"/>
        <w:spacing w:line="360" w:lineRule="auto"/>
        <w:rPr>
          <w:rFonts w:cs="Times New Roman"/>
        </w:rPr>
      </w:pPr>
    </w:p>
    <w:p w14:paraId="1D010E00" w14:textId="19956E8F" w:rsidR="00B070F2" w:rsidRPr="00D776E7" w:rsidRDefault="00AC55C9" w:rsidP="00CB3AB6">
      <w:pPr>
        <w:suppressLineNumbers/>
        <w:autoSpaceDE w:val="0"/>
        <w:autoSpaceDN w:val="0"/>
        <w:adjustRightInd w:val="0"/>
        <w:spacing w:after="240" w:line="360" w:lineRule="auto"/>
        <w:ind w:firstLine="720"/>
        <w:rPr>
          <w:rFonts w:cs="Times New Roman"/>
        </w:rPr>
      </w:pPr>
      <w:r w:rsidRPr="00D776E7">
        <w:rPr>
          <w:rFonts w:cs="Times New Roman"/>
        </w:rPr>
        <w:t>Mindy R. Guardado</w:t>
      </w:r>
      <w:r w:rsidR="00B070F2" w:rsidRPr="00D776E7">
        <w:rPr>
          <w:rFonts w:cs="Times New Roman"/>
        </w:rPr>
        <w:t xml:space="preserve">, being first duly sworn, on oath, says that </w:t>
      </w:r>
      <w:r w:rsidRPr="00D776E7">
        <w:rPr>
          <w:rFonts w:cs="Times New Roman"/>
        </w:rPr>
        <w:t>s</w:t>
      </w:r>
      <w:r w:rsidR="00B070F2" w:rsidRPr="00D776E7">
        <w:rPr>
          <w:rFonts w:cs="Times New Roman"/>
        </w:rPr>
        <w:t xml:space="preserve">he is the </w:t>
      </w:r>
      <w:r w:rsidRPr="00D776E7">
        <w:rPr>
          <w:rFonts w:cs="Times New Roman"/>
        </w:rPr>
        <w:t>Mindy</w:t>
      </w:r>
      <w:r w:rsidR="00B070F2" w:rsidRPr="00D776E7">
        <w:rPr>
          <w:rFonts w:cs="Times New Roman"/>
        </w:rPr>
        <w:t xml:space="preserve"> </w:t>
      </w:r>
      <w:r w:rsidRPr="00D776E7">
        <w:rPr>
          <w:rFonts w:cs="Times New Roman"/>
        </w:rPr>
        <w:t>R</w:t>
      </w:r>
      <w:r w:rsidR="00B070F2" w:rsidRPr="00D776E7">
        <w:rPr>
          <w:rFonts w:cs="Times New Roman"/>
        </w:rPr>
        <w:t xml:space="preserve">. </w:t>
      </w:r>
      <w:r w:rsidRPr="00D776E7">
        <w:rPr>
          <w:rFonts w:cs="Times New Roman"/>
        </w:rPr>
        <w:t>Guardado</w:t>
      </w:r>
      <w:r w:rsidR="00B070F2" w:rsidRPr="00D776E7">
        <w:rPr>
          <w:rFonts w:cs="Times New Roman"/>
        </w:rPr>
        <w:t xml:space="preserve"> identified in the foregoing prepared direct testimony; that </w:t>
      </w:r>
      <w:r w:rsidRPr="00D776E7">
        <w:rPr>
          <w:rFonts w:cs="Times New Roman"/>
        </w:rPr>
        <w:t>s</w:t>
      </w:r>
      <w:r w:rsidR="00B070F2" w:rsidRPr="00D776E7">
        <w:rPr>
          <w:rFonts w:cs="Times New Roman"/>
        </w:rPr>
        <w:t>he caused to be prepared such testimony on behalf of San Diego Gas &amp; Electric Company; that the answers appearing therein are true to the best of h</w:t>
      </w:r>
      <w:r w:rsidRPr="00D776E7">
        <w:rPr>
          <w:rFonts w:cs="Times New Roman"/>
        </w:rPr>
        <w:t>er</w:t>
      </w:r>
      <w:r w:rsidR="00B070F2" w:rsidRPr="00D776E7">
        <w:rPr>
          <w:rFonts w:cs="Times New Roman"/>
        </w:rPr>
        <w:t xml:space="preserve"> knowledge and belief; and that if asked the questions appearing therein, h</w:t>
      </w:r>
      <w:r w:rsidRPr="00D776E7">
        <w:rPr>
          <w:rFonts w:cs="Times New Roman"/>
        </w:rPr>
        <w:t>er</w:t>
      </w:r>
      <w:r w:rsidR="00B070F2" w:rsidRPr="00D776E7">
        <w:rPr>
          <w:rFonts w:cs="Times New Roman"/>
        </w:rPr>
        <w:t xml:space="preserve"> answer would, under oath, be the same.</w:t>
      </w:r>
    </w:p>
    <w:p w14:paraId="4C82C6C7" w14:textId="77777777" w:rsidR="00B070F2" w:rsidRPr="00D776E7" w:rsidRDefault="00B070F2" w:rsidP="00CB3AB6">
      <w:pPr>
        <w:suppressLineNumbers/>
        <w:autoSpaceDE w:val="0"/>
        <w:autoSpaceDN w:val="0"/>
        <w:adjustRightInd w:val="0"/>
        <w:spacing w:after="240" w:line="360" w:lineRule="auto"/>
        <w:jc w:val="right"/>
        <w:rPr>
          <w:rFonts w:cs="Times New Roman"/>
        </w:rPr>
      </w:pPr>
    </w:p>
    <w:p w14:paraId="5010A3A6" w14:textId="112197E4" w:rsidR="00B070F2" w:rsidRPr="00D776E7" w:rsidRDefault="00B070F2" w:rsidP="00CB3AB6">
      <w:pPr>
        <w:suppressLineNumbers/>
        <w:tabs>
          <w:tab w:val="left" w:pos="7200"/>
        </w:tabs>
        <w:autoSpaceDE w:val="0"/>
        <w:autoSpaceDN w:val="0"/>
        <w:adjustRightInd w:val="0"/>
        <w:spacing w:line="360" w:lineRule="auto"/>
        <w:jc w:val="right"/>
        <w:rPr>
          <w:rFonts w:cs="Times New Roman"/>
        </w:rPr>
      </w:pPr>
      <w:r w:rsidRPr="00D776E7">
        <w:rPr>
          <w:rFonts w:cs="Times New Roman"/>
        </w:rPr>
        <w:t>_______</w:t>
      </w:r>
      <w:r w:rsidR="00474EB9">
        <w:rPr>
          <w:rFonts w:cs="Times New Roman"/>
          <w:i/>
          <w:iCs/>
        </w:rPr>
        <w:t>/s/</w:t>
      </w:r>
      <w:r w:rsidRPr="00D776E7">
        <w:rPr>
          <w:rFonts w:cs="Times New Roman"/>
        </w:rPr>
        <w:t>_______________________</w:t>
      </w:r>
    </w:p>
    <w:p w14:paraId="2962EB9A" w14:textId="09F630A6" w:rsidR="00B070F2" w:rsidRPr="00D776E7" w:rsidRDefault="00B070F2" w:rsidP="00CB3AB6">
      <w:pPr>
        <w:suppressLineNumbers/>
        <w:tabs>
          <w:tab w:val="left" w:pos="5760"/>
        </w:tabs>
        <w:autoSpaceDE w:val="0"/>
        <w:autoSpaceDN w:val="0"/>
        <w:adjustRightInd w:val="0"/>
        <w:spacing w:after="240" w:line="360" w:lineRule="auto"/>
        <w:jc w:val="center"/>
        <w:rPr>
          <w:rFonts w:cs="Times New Roman"/>
        </w:rPr>
      </w:pPr>
      <w:r w:rsidRPr="00D776E7">
        <w:rPr>
          <w:rFonts w:cs="Times New Roman"/>
        </w:rPr>
        <w:tab/>
      </w:r>
      <w:r w:rsidR="00AC55C9" w:rsidRPr="00D776E7">
        <w:rPr>
          <w:rFonts w:cs="Times New Roman"/>
        </w:rPr>
        <w:t>Mindy</w:t>
      </w:r>
      <w:r w:rsidRPr="00D776E7">
        <w:rPr>
          <w:rFonts w:cs="Times New Roman"/>
        </w:rPr>
        <w:t xml:space="preserve"> </w:t>
      </w:r>
      <w:r w:rsidR="00AC55C9" w:rsidRPr="00D776E7">
        <w:rPr>
          <w:rFonts w:cs="Times New Roman"/>
        </w:rPr>
        <w:t>R</w:t>
      </w:r>
      <w:r w:rsidRPr="00D776E7">
        <w:rPr>
          <w:rFonts w:cs="Times New Roman"/>
        </w:rPr>
        <w:t xml:space="preserve">. </w:t>
      </w:r>
      <w:r w:rsidR="00AC55C9" w:rsidRPr="00D776E7">
        <w:rPr>
          <w:rFonts w:cs="Times New Roman"/>
        </w:rPr>
        <w:t>Guardado</w:t>
      </w:r>
    </w:p>
    <w:sectPr w:rsidR="00B070F2" w:rsidRPr="00D776E7" w:rsidSect="00466DAD">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2D8C" w14:textId="77777777" w:rsidR="00B253D1" w:rsidRDefault="00B253D1" w:rsidP="00240E24">
      <w:r>
        <w:separator/>
      </w:r>
    </w:p>
  </w:endnote>
  <w:endnote w:type="continuationSeparator" w:id="0">
    <w:p w14:paraId="7407793F" w14:textId="77777777" w:rsidR="00B253D1" w:rsidRDefault="00B253D1" w:rsidP="00240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690819"/>
      <w:docPartObj>
        <w:docPartGallery w:val="Page Numbers (Bottom of Page)"/>
        <w:docPartUnique/>
      </w:docPartObj>
    </w:sdtPr>
    <w:sdtEndPr>
      <w:rPr>
        <w:rFonts w:cs="Times New Roman"/>
        <w:noProof/>
      </w:rPr>
    </w:sdtEndPr>
    <w:sdtContent>
      <w:p w14:paraId="47AD40AD" w14:textId="77777777" w:rsidR="008D7E16" w:rsidRPr="00B05702" w:rsidRDefault="008D7E16">
        <w:pPr>
          <w:pStyle w:val="Footer"/>
          <w:jc w:val="center"/>
          <w:rPr>
            <w:rFonts w:cs="Times New Roman"/>
          </w:rPr>
        </w:pPr>
        <w:r w:rsidRPr="00B05702">
          <w:rPr>
            <w:rFonts w:cs="Times New Roman"/>
          </w:rPr>
          <w:fldChar w:fldCharType="begin"/>
        </w:r>
        <w:r w:rsidRPr="00B05702">
          <w:rPr>
            <w:rFonts w:cs="Times New Roman"/>
          </w:rPr>
          <w:instrText xml:space="preserve"> PAGE   \* MERGEFORMAT </w:instrText>
        </w:r>
        <w:r w:rsidRPr="00B05702">
          <w:rPr>
            <w:rFonts w:cs="Times New Roman"/>
          </w:rPr>
          <w:fldChar w:fldCharType="separate"/>
        </w:r>
        <w:r>
          <w:rPr>
            <w:rFonts w:cs="Times New Roman"/>
            <w:noProof/>
          </w:rPr>
          <w:t>0</w:t>
        </w:r>
        <w:r w:rsidRPr="00B05702">
          <w:rPr>
            <w:rFonts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EE9A" w14:textId="05F9923F" w:rsidR="008D7E16" w:rsidRPr="00FE0F18" w:rsidRDefault="008D7E16" w:rsidP="00FE0F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1081" w14:textId="77777777" w:rsidR="008D7E16" w:rsidRDefault="008D7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637DD" w14:textId="77777777" w:rsidR="00B253D1" w:rsidRDefault="00B253D1" w:rsidP="00240E24">
      <w:r>
        <w:separator/>
      </w:r>
    </w:p>
  </w:footnote>
  <w:footnote w:type="continuationSeparator" w:id="0">
    <w:p w14:paraId="73B398A8" w14:textId="77777777" w:rsidR="00B253D1" w:rsidRDefault="00B253D1" w:rsidP="00240E24">
      <w:r>
        <w:continuationSeparator/>
      </w:r>
    </w:p>
  </w:footnote>
  <w:footnote w:id="1">
    <w:p w14:paraId="558DBEDF" w14:textId="3E8D0CAE" w:rsidR="0006707F" w:rsidRDefault="0006707F">
      <w:pPr>
        <w:pStyle w:val="FootnoteText"/>
      </w:pPr>
      <w:r>
        <w:rPr>
          <w:rStyle w:val="FootnoteReference"/>
        </w:rPr>
        <w:footnoteRef/>
      </w:r>
      <w:r>
        <w:t xml:space="preserve"> </w:t>
      </w:r>
      <w:r>
        <w:tab/>
        <w:t xml:space="preserve">The rates presented in these statements are illustrative based on the Transmission Owner 6 Cycle 3 (TO6 C3) </w:t>
      </w:r>
      <w:r w:rsidR="009F3AB8">
        <w:t xml:space="preserve">Draft </w:t>
      </w:r>
      <w:r>
        <w:t>Informational Posting on June 15, 2026. If this testimony is adopted, the final rates will be included in the TO6 C</w:t>
      </w:r>
      <w:r w:rsidR="00021755">
        <w:t xml:space="preserve">ycle </w:t>
      </w:r>
      <w:r>
        <w:t xml:space="preserve">3 </w:t>
      </w:r>
      <w:r w:rsidR="009F3AB8">
        <w:t>Informational Filing</w:t>
      </w:r>
      <w:r>
        <w:t xml:space="preserve">. </w:t>
      </w:r>
    </w:p>
  </w:footnote>
  <w:footnote w:id="2">
    <w:p w14:paraId="32FF408C" w14:textId="1DB48265" w:rsidR="00981FB8" w:rsidRDefault="00981FB8">
      <w:pPr>
        <w:pStyle w:val="FootnoteText"/>
      </w:pPr>
      <w:r>
        <w:rPr>
          <w:rStyle w:val="FootnoteReference"/>
        </w:rPr>
        <w:footnoteRef/>
      </w:r>
      <w:r>
        <w:t xml:space="preserve"> </w:t>
      </w:r>
      <w:r w:rsidR="009369EE">
        <w:tab/>
      </w:r>
      <w:r>
        <w:t>SDG&amp;E Advice Letter 4791-E/E-A, approved by CPUC letter dated May 14, 2026.</w:t>
      </w:r>
    </w:p>
  </w:footnote>
  <w:footnote w:id="3">
    <w:p w14:paraId="3B50442B" w14:textId="0EA3048A" w:rsidR="00D32C52" w:rsidRDefault="00D32C52">
      <w:pPr>
        <w:pStyle w:val="FootnoteText"/>
      </w:pPr>
      <w:r>
        <w:rPr>
          <w:rStyle w:val="FootnoteReference"/>
        </w:rPr>
        <w:footnoteRef/>
      </w:r>
      <w:r>
        <w:t xml:space="preserve"> </w:t>
      </w:r>
      <w:r>
        <w:tab/>
        <w:t xml:space="preserve">Small Commercial has other rate schedules that are not impacted by this new Medium Commercial customer class and therefore not listed. </w:t>
      </w:r>
    </w:p>
  </w:footnote>
  <w:footnote w:id="4">
    <w:p w14:paraId="1CA887A2" w14:textId="032D6770" w:rsidR="00754FD3" w:rsidRDefault="00754FD3" w:rsidP="00754FD3">
      <w:pPr>
        <w:pStyle w:val="FootnoteText"/>
      </w:pPr>
      <w:r>
        <w:rPr>
          <w:rStyle w:val="FootnoteReference"/>
        </w:rPr>
        <w:footnoteRef/>
      </w:r>
      <w:r>
        <w:t xml:space="preserve"> </w:t>
      </w:r>
      <w:r w:rsidR="00E34A9F">
        <w:tab/>
      </w:r>
      <w:r>
        <w:t>Per D.09-09-036, Schedule OL-TOU paid volumetric energy rates, which for transmission meant paying the Small Commercial 100% volumetric rate instead of the 100% demand M/L C&amp;I rates.</w:t>
      </w:r>
    </w:p>
  </w:footnote>
  <w:footnote w:id="5">
    <w:p w14:paraId="462F312B" w14:textId="4EE7BE73" w:rsidR="00B92FC7" w:rsidRDefault="00B92FC7">
      <w:pPr>
        <w:pStyle w:val="FootnoteText"/>
      </w:pPr>
      <w:r>
        <w:rPr>
          <w:rStyle w:val="FootnoteReference"/>
        </w:rPr>
        <w:footnoteRef/>
      </w:r>
      <w:r>
        <w:t xml:space="preserve"> </w:t>
      </w:r>
      <w:r w:rsidR="009369EE">
        <w:tab/>
      </w:r>
      <w:r>
        <w:t>ER21-2540-000 (Letter Order Oct. 22,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6F07" w14:textId="77777777" w:rsidR="008D7E16" w:rsidRPr="00883DCA" w:rsidRDefault="008D7E16" w:rsidP="00883DCA">
    <w:pPr>
      <w:pStyle w:val="Header"/>
      <w:jc w:val="center"/>
      <w:rPr>
        <w:b/>
      </w:rPr>
    </w:pPr>
    <w:r>
      <w:rPr>
        <w:b/>
      </w:rPr>
      <w:t>DRAFT / CONFIDENTIAL-ATTORNEY CLIENT PRIVILEGE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1F0C" w14:textId="0D8A7ACE" w:rsidR="00FE0F18" w:rsidRPr="00FE0F18" w:rsidRDefault="00FE0F18" w:rsidP="00FE0F18">
    <w:pPr>
      <w:pStyle w:val="Header"/>
      <w:jc w:val="right"/>
      <w:rPr>
        <w:rFonts w:cs="Times New Roman"/>
      </w:rPr>
    </w:pPr>
    <w:r w:rsidRPr="00FE0F18">
      <w:rPr>
        <w:rFonts w:cs="Times New Roman"/>
      </w:rPr>
      <w:t>Docket No. ER2</w:t>
    </w:r>
    <w:r w:rsidR="00065C0B">
      <w:rPr>
        <w:rFonts w:cs="Times New Roman"/>
      </w:rPr>
      <w:t>6</w:t>
    </w:r>
    <w:r w:rsidRPr="00FE0F18">
      <w:rPr>
        <w:rFonts w:cs="Times New Roman"/>
      </w:rPr>
      <w:t>-X</w:t>
    </w:r>
    <w:r w:rsidR="00AC1C3E">
      <w:rPr>
        <w:rFonts w:cs="Times New Roman"/>
      </w:rPr>
      <w:t>XX</w:t>
    </w:r>
    <w:r w:rsidRPr="00FE0F18">
      <w:rPr>
        <w:rFonts w:cs="Times New Roman"/>
      </w:rPr>
      <w:t>-XXX</w:t>
    </w:r>
  </w:p>
  <w:p w14:paraId="21CA0325" w14:textId="21F138B0" w:rsidR="00FE0F18" w:rsidRDefault="00FE0F18" w:rsidP="00FE0F1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C8F6" w14:textId="3957B596" w:rsidR="00FE0F18" w:rsidRPr="00FE0F18" w:rsidRDefault="00FE0F18" w:rsidP="00FE0F18">
    <w:pPr>
      <w:pStyle w:val="Header"/>
      <w:jc w:val="right"/>
      <w:rPr>
        <w:rFonts w:cs="Times New Roman"/>
      </w:rPr>
    </w:pPr>
    <w:r>
      <w:tab/>
    </w:r>
    <w:r w:rsidRPr="00FE0F18">
      <w:rPr>
        <w:rFonts w:cs="Times New Roman"/>
      </w:rPr>
      <w:t>Docket No. ER2</w:t>
    </w:r>
    <w:r w:rsidR="0094609F">
      <w:rPr>
        <w:rFonts w:cs="Times New Roman"/>
      </w:rPr>
      <w:t>6</w:t>
    </w:r>
    <w:r w:rsidRPr="00FE0F18">
      <w:rPr>
        <w:rFonts w:cs="Times New Roman"/>
      </w:rPr>
      <w:t>-XX</w:t>
    </w:r>
    <w:r w:rsidR="001F5E7F">
      <w:rPr>
        <w:rFonts w:cs="Times New Roman"/>
      </w:rPr>
      <w:t>X</w:t>
    </w:r>
    <w:r w:rsidRPr="00FE0F18">
      <w:rPr>
        <w:rFonts w:cs="Times New Roman"/>
      </w:rPr>
      <w:t>-XXX</w:t>
    </w:r>
  </w:p>
  <w:p w14:paraId="2885EBF6" w14:textId="2DB531A9" w:rsidR="00FE0F18" w:rsidRPr="00FE0F18" w:rsidRDefault="00FE0F18" w:rsidP="00FE0F18">
    <w:pPr>
      <w:pStyle w:val="Header"/>
      <w:jc w:val="right"/>
      <w:rPr>
        <w:rFonts w:cs="Times New Roman"/>
      </w:rPr>
    </w:pPr>
    <w:r w:rsidRPr="00FE0F18">
      <w:rPr>
        <w:rFonts w:cs="Times New Roman"/>
      </w:rPr>
      <w:t xml:space="preserve">Page </w:t>
    </w:r>
    <w:r w:rsidRPr="00FE0F18">
      <w:rPr>
        <w:rFonts w:cs="Times New Roman"/>
      </w:rPr>
      <w:fldChar w:fldCharType="begin"/>
    </w:r>
    <w:r w:rsidRPr="00FE0F18">
      <w:rPr>
        <w:rFonts w:cs="Times New Roman"/>
      </w:rPr>
      <w:instrText xml:space="preserve"> PAGE  \* Arabic  \* MERGEFORMAT </w:instrText>
    </w:r>
    <w:r w:rsidRPr="00FE0F18">
      <w:rPr>
        <w:rFonts w:cs="Times New Roman"/>
      </w:rPr>
      <w:fldChar w:fldCharType="separate"/>
    </w:r>
    <w:r w:rsidRPr="00FE0F18">
      <w:rPr>
        <w:rFonts w:cs="Times New Roman"/>
        <w:noProof/>
      </w:rPr>
      <w:t>1</w:t>
    </w:r>
    <w:r w:rsidRPr="00FE0F18">
      <w:rPr>
        <w:rFonts w:cs="Times New Roman"/>
      </w:rPr>
      <w:fldChar w:fldCharType="end"/>
    </w:r>
    <w:r w:rsidRPr="00FE0F18">
      <w:rPr>
        <w:rFonts w:cs="Times New Roman"/>
      </w:rPr>
      <w:t xml:space="preserve"> of </w:t>
    </w:r>
    <w:r w:rsidRPr="00FE0F18">
      <w:rPr>
        <w:rFonts w:cs="Times New Roman"/>
      </w:rPr>
      <w:fldChar w:fldCharType="begin"/>
    </w:r>
    <w:r w:rsidRPr="00FE0F18">
      <w:rPr>
        <w:rFonts w:cs="Times New Roman"/>
      </w:rPr>
      <w:instrText xml:space="preserve"> NUMPAGES  \* Arabic  \* MERGEFORMAT </w:instrText>
    </w:r>
    <w:r w:rsidRPr="00FE0F18">
      <w:rPr>
        <w:rFonts w:cs="Times New Roman"/>
      </w:rPr>
      <w:fldChar w:fldCharType="separate"/>
    </w:r>
    <w:r w:rsidRPr="00FE0F18">
      <w:rPr>
        <w:rFonts w:cs="Times New Roman"/>
        <w:noProof/>
      </w:rPr>
      <w:t>2</w:t>
    </w:r>
    <w:r w:rsidRPr="00FE0F18">
      <w:rPr>
        <w:rFonts w:cs="Times New Roman"/>
      </w:rPr>
      <w:fldChar w:fldCharType="end"/>
    </w:r>
  </w:p>
  <w:p w14:paraId="37DDB21C" w14:textId="7751C568" w:rsidR="008D7E16" w:rsidRPr="0065141A" w:rsidRDefault="008D7E16" w:rsidP="00FE0F18">
    <w:pPr>
      <w:pStyle w:val="Header"/>
      <w:tabs>
        <w:tab w:val="clear" w:pos="4680"/>
        <w:tab w:val="clear" w:pos="9360"/>
        <w:tab w:val="left" w:pos="808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BECEB" w14:textId="77777777" w:rsidR="008D7E16" w:rsidRPr="0065141A" w:rsidRDefault="008D7E16" w:rsidP="006514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B89D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188FD0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D8249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BAA1A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2E96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16C7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009A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BEEA0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1AC63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962D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E3258"/>
    <w:multiLevelType w:val="hybridMultilevel"/>
    <w:tmpl w:val="E50A6E3A"/>
    <w:lvl w:ilvl="0" w:tplc="3A22AA16">
      <w:start w:val="1"/>
      <w:numFmt w:val="upperLetter"/>
      <w:lvlText w:val="%1)"/>
      <w:lvlJc w:val="left"/>
      <w:pPr>
        <w:ind w:left="2160" w:hanging="72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2883A14"/>
    <w:multiLevelType w:val="hybridMultilevel"/>
    <w:tmpl w:val="C7B2A9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5A52A2C"/>
    <w:multiLevelType w:val="hybridMultilevel"/>
    <w:tmpl w:val="4636FC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21C7AAF"/>
    <w:multiLevelType w:val="hybridMultilevel"/>
    <w:tmpl w:val="C03C62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9591288"/>
    <w:multiLevelType w:val="hybridMultilevel"/>
    <w:tmpl w:val="7D2EB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D784722"/>
    <w:multiLevelType w:val="hybridMultilevel"/>
    <w:tmpl w:val="C1DCA180"/>
    <w:lvl w:ilvl="0" w:tplc="38F468F0">
      <w:start w:val="1"/>
      <w:numFmt w:val="decimal"/>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0576DB9"/>
    <w:multiLevelType w:val="hybridMultilevel"/>
    <w:tmpl w:val="B1FA47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4760285"/>
    <w:multiLevelType w:val="hybridMultilevel"/>
    <w:tmpl w:val="7706B6C2"/>
    <w:lvl w:ilvl="0" w:tplc="C5EC975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677B85"/>
    <w:multiLevelType w:val="hybridMultilevel"/>
    <w:tmpl w:val="8A2C39AE"/>
    <w:lvl w:ilvl="0" w:tplc="C5EC975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4F4D6F"/>
    <w:multiLevelType w:val="hybridMultilevel"/>
    <w:tmpl w:val="E2D49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D739E4"/>
    <w:multiLevelType w:val="hybridMultilevel"/>
    <w:tmpl w:val="33C68D38"/>
    <w:lvl w:ilvl="0" w:tplc="463CEC54">
      <w:start w:val="1"/>
      <w:numFmt w:val="upp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B203EA"/>
    <w:multiLevelType w:val="hybridMultilevel"/>
    <w:tmpl w:val="D498787E"/>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F97E0A"/>
    <w:multiLevelType w:val="hybridMultilevel"/>
    <w:tmpl w:val="3B8CC7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0CE4507"/>
    <w:multiLevelType w:val="hybridMultilevel"/>
    <w:tmpl w:val="6B143A34"/>
    <w:lvl w:ilvl="0" w:tplc="B99E9880">
      <w:start w:val="1"/>
      <w:numFmt w:val="decimal"/>
      <w:lvlText w:val="%1)"/>
      <w:lvlJc w:val="left"/>
      <w:pPr>
        <w:ind w:left="1080" w:hanging="360"/>
      </w:pPr>
      <w:rPr>
        <w:rFonts w:ascii="Times New Roman" w:hAnsi="Times New Roman" w:cs="Times New Roman" w:hint="default"/>
        <w:color w:val="auto"/>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19D3F23"/>
    <w:multiLevelType w:val="hybridMultilevel"/>
    <w:tmpl w:val="30F0C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A7D31EB"/>
    <w:multiLevelType w:val="multilevel"/>
    <w:tmpl w:val="EED8993A"/>
    <w:lvl w:ilvl="0">
      <w:start w:val="1"/>
      <w:numFmt w:val="upperRoman"/>
      <w:pStyle w:val="Heading1"/>
      <w:lvlText w:val="%1."/>
      <w:lvlJc w:val="left"/>
      <w:pPr>
        <w:tabs>
          <w:tab w:val="num" w:pos="720"/>
        </w:tabs>
        <w:ind w:left="720" w:hanging="720"/>
      </w:pPr>
      <w:rPr>
        <w:rFonts w:ascii="Times New Roman Bold" w:hAnsi="Times New Roman Bold" w:hint="default"/>
        <w:b/>
        <w:i w:val="0"/>
        <w:sz w:val="24"/>
      </w:rPr>
    </w:lvl>
    <w:lvl w:ilvl="1">
      <w:start w:val="1"/>
      <w:numFmt w:val="upperLetter"/>
      <w:pStyle w:val="Heading2"/>
      <w:lvlText w:val="%2."/>
      <w:lvlJc w:val="left"/>
      <w:pPr>
        <w:tabs>
          <w:tab w:val="num" w:pos="1440"/>
        </w:tabs>
        <w:ind w:left="1440" w:hanging="720"/>
      </w:pPr>
      <w:rPr>
        <w:rFonts w:ascii="Times New Roman Bold" w:hAnsi="Times New Roman Bold" w:hint="default"/>
        <w:b/>
        <w:i w:val="0"/>
        <w:sz w:val="24"/>
      </w:rPr>
    </w:lvl>
    <w:lvl w:ilvl="2">
      <w:start w:val="1"/>
      <w:numFmt w:val="decimal"/>
      <w:pStyle w:val="Heading3"/>
      <w:lvlText w:val="%3."/>
      <w:lvlJc w:val="left"/>
      <w:pPr>
        <w:tabs>
          <w:tab w:val="num" w:pos="2160"/>
        </w:tabs>
        <w:ind w:left="2160" w:hanging="720"/>
      </w:pPr>
      <w:rPr>
        <w:rFonts w:ascii="Times New Roman Bold" w:hAnsi="Times New Roman Bold" w:hint="default"/>
        <w:b/>
        <w:i w:val="0"/>
        <w:sz w:val="24"/>
      </w:rPr>
    </w:lvl>
    <w:lvl w:ilvl="3">
      <w:start w:val="1"/>
      <w:numFmt w:val="lowerLetter"/>
      <w:pStyle w:val="Heading4"/>
      <w:lvlText w:val="%4."/>
      <w:lvlJc w:val="left"/>
      <w:pPr>
        <w:tabs>
          <w:tab w:val="num" w:pos="2880"/>
        </w:tabs>
        <w:ind w:left="2880" w:hanging="720"/>
      </w:pPr>
      <w:rPr>
        <w:rFonts w:ascii="Times New Roman Bold" w:hAnsi="Times New Roman Bold" w:hint="default"/>
        <w:b/>
        <w:i w:val="0"/>
        <w:sz w:val="24"/>
      </w:rPr>
    </w:lvl>
    <w:lvl w:ilvl="4">
      <w:start w:val="1"/>
      <w:numFmt w:val="lowerRoman"/>
      <w:pStyle w:val="Heading5"/>
      <w:lvlText w:val="%5."/>
      <w:lvlJc w:val="left"/>
      <w:pPr>
        <w:tabs>
          <w:tab w:val="num" w:pos="3600"/>
        </w:tabs>
        <w:ind w:left="3600" w:hanging="720"/>
      </w:pPr>
      <w:rPr>
        <w:rFonts w:ascii="Times New Roman Bold" w:hAnsi="Times New Roman Bold" w:hint="default"/>
        <w:b/>
        <w:i w:val="0"/>
        <w:sz w:val="24"/>
      </w:rPr>
    </w:lvl>
    <w:lvl w:ilvl="5">
      <w:start w:val="1"/>
      <w:numFmt w:val="none"/>
      <w:lvlText w:val=""/>
      <w:lvlJc w:val="left"/>
      <w:pPr>
        <w:tabs>
          <w:tab w:val="num" w:pos="3600"/>
        </w:tabs>
        <w:ind w:left="4320" w:hanging="72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5E1C152E"/>
    <w:multiLevelType w:val="multilevel"/>
    <w:tmpl w:val="99C833E2"/>
    <w:name w:val="Bullet"/>
    <w:lvl w:ilvl="0">
      <w:start w:val="1"/>
      <w:numFmt w:val="bullet"/>
      <w:pStyle w:val="Bullet0Double"/>
      <w:lvlText w:val=""/>
      <w:lvlJc w:val="left"/>
      <w:pPr>
        <w:ind w:left="360" w:hanging="360"/>
      </w:pPr>
      <w:rPr>
        <w:rFonts w:ascii="Symbol" w:hAnsi="Symbol" w:hint="default"/>
      </w:rPr>
    </w:lvl>
    <w:lvl w:ilvl="1">
      <w:start w:val="1"/>
      <w:numFmt w:val="bullet"/>
      <w:pStyle w:val="Bullet0Single"/>
      <w:lvlText w:val=""/>
      <w:lvlJc w:val="left"/>
      <w:pPr>
        <w:ind w:left="0" w:firstLine="0"/>
      </w:pPr>
      <w:rPr>
        <w:rFonts w:ascii="Symbol" w:hAnsi="Symbol" w:hint="default"/>
      </w:rPr>
    </w:lvl>
    <w:lvl w:ilvl="2">
      <w:start w:val="1"/>
      <w:numFmt w:val="bullet"/>
      <w:pStyle w:val="Bullet5Double"/>
      <w:lvlText w:val=""/>
      <w:lvlJc w:val="left"/>
      <w:pPr>
        <w:ind w:left="720" w:firstLine="0"/>
      </w:pPr>
      <w:rPr>
        <w:rFonts w:ascii="Symbol" w:hAnsi="Symbol" w:hint="default"/>
      </w:rPr>
    </w:lvl>
    <w:lvl w:ilvl="3">
      <w:start w:val="1"/>
      <w:numFmt w:val="bullet"/>
      <w:pStyle w:val="Bullet5Single"/>
      <w:lvlText w:val=""/>
      <w:lvlJc w:val="left"/>
      <w:pPr>
        <w:ind w:left="1440" w:hanging="720"/>
      </w:pPr>
      <w:rPr>
        <w:rFonts w:ascii="Symbol" w:hAnsi="Symbol"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67FB43CA"/>
    <w:multiLevelType w:val="hybridMultilevel"/>
    <w:tmpl w:val="AFA26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F5B276C"/>
    <w:multiLevelType w:val="hybridMultilevel"/>
    <w:tmpl w:val="479CC0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FDD1FB1"/>
    <w:multiLevelType w:val="hybridMultilevel"/>
    <w:tmpl w:val="9CD06A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108176">
    <w:abstractNumId w:val="23"/>
  </w:num>
  <w:num w:numId="2" w16cid:durableId="1462066973">
    <w:abstractNumId w:val="20"/>
  </w:num>
  <w:num w:numId="3" w16cid:durableId="1110780384">
    <w:abstractNumId w:val="10"/>
  </w:num>
  <w:num w:numId="4" w16cid:durableId="795699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3638558">
    <w:abstractNumId w:val="21"/>
  </w:num>
  <w:num w:numId="6" w16cid:durableId="784007951">
    <w:abstractNumId w:val="19"/>
  </w:num>
  <w:num w:numId="7" w16cid:durableId="1905414206">
    <w:abstractNumId w:val="29"/>
  </w:num>
  <w:num w:numId="8" w16cid:durableId="1847816437">
    <w:abstractNumId w:val="9"/>
  </w:num>
  <w:num w:numId="9" w16cid:durableId="763888088">
    <w:abstractNumId w:val="7"/>
  </w:num>
  <w:num w:numId="10" w16cid:durableId="2109614231">
    <w:abstractNumId w:val="6"/>
  </w:num>
  <w:num w:numId="11" w16cid:durableId="191769132">
    <w:abstractNumId w:val="5"/>
  </w:num>
  <w:num w:numId="12" w16cid:durableId="281885348">
    <w:abstractNumId w:val="4"/>
  </w:num>
  <w:num w:numId="13" w16cid:durableId="1808937094">
    <w:abstractNumId w:val="8"/>
  </w:num>
  <w:num w:numId="14" w16cid:durableId="1822966880">
    <w:abstractNumId w:val="3"/>
  </w:num>
  <w:num w:numId="15" w16cid:durableId="1736008029">
    <w:abstractNumId w:val="2"/>
  </w:num>
  <w:num w:numId="16" w16cid:durableId="749499562">
    <w:abstractNumId w:val="1"/>
  </w:num>
  <w:num w:numId="17" w16cid:durableId="386882193">
    <w:abstractNumId w:val="0"/>
  </w:num>
  <w:num w:numId="18" w16cid:durableId="644512082">
    <w:abstractNumId w:val="18"/>
  </w:num>
  <w:num w:numId="19" w16cid:durableId="1728528736">
    <w:abstractNumId w:val="17"/>
  </w:num>
  <w:num w:numId="20" w16cid:durableId="816800467">
    <w:abstractNumId w:val="27"/>
  </w:num>
  <w:num w:numId="21" w16cid:durableId="999312763">
    <w:abstractNumId w:val="12"/>
  </w:num>
  <w:num w:numId="22" w16cid:durableId="1626540163">
    <w:abstractNumId w:val="28"/>
  </w:num>
  <w:num w:numId="23" w16cid:durableId="180438948">
    <w:abstractNumId w:val="13"/>
  </w:num>
  <w:num w:numId="24" w16cid:durableId="1133865956">
    <w:abstractNumId w:val="14"/>
  </w:num>
  <w:num w:numId="25" w16cid:durableId="1516653462">
    <w:abstractNumId w:val="22"/>
  </w:num>
  <w:num w:numId="26" w16cid:durableId="97339975">
    <w:abstractNumId w:val="11"/>
  </w:num>
  <w:num w:numId="27" w16cid:durableId="664432059">
    <w:abstractNumId w:val="15"/>
  </w:num>
  <w:num w:numId="28" w16cid:durableId="12457380">
    <w:abstractNumId w:val="25"/>
  </w:num>
  <w:num w:numId="29" w16cid:durableId="1243949919">
    <w:abstractNumId w:val="26"/>
  </w:num>
  <w:num w:numId="30" w16cid:durableId="4860962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07A"/>
    <w:rsid w:val="00001589"/>
    <w:rsid w:val="00001E1E"/>
    <w:rsid w:val="0000332D"/>
    <w:rsid w:val="00004552"/>
    <w:rsid w:val="000049A5"/>
    <w:rsid w:val="0000528E"/>
    <w:rsid w:val="00005A76"/>
    <w:rsid w:val="00005FD2"/>
    <w:rsid w:val="000074FC"/>
    <w:rsid w:val="000075B5"/>
    <w:rsid w:val="000076D1"/>
    <w:rsid w:val="000101F6"/>
    <w:rsid w:val="000107A7"/>
    <w:rsid w:val="00013A41"/>
    <w:rsid w:val="00013AB6"/>
    <w:rsid w:val="00017804"/>
    <w:rsid w:val="00017BC5"/>
    <w:rsid w:val="000205D5"/>
    <w:rsid w:val="00020CDD"/>
    <w:rsid w:val="00020CF8"/>
    <w:rsid w:val="00021173"/>
    <w:rsid w:val="00021755"/>
    <w:rsid w:val="00021B01"/>
    <w:rsid w:val="00021F60"/>
    <w:rsid w:val="00022955"/>
    <w:rsid w:val="00023F69"/>
    <w:rsid w:val="0002404A"/>
    <w:rsid w:val="00024FE3"/>
    <w:rsid w:val="0002557F"/>
    <w:rsid w:val="0002695D"/>
    <w:rsid w:val="00027511"/>
    <w:rsid w:val="000279E8"/>
    <w:rsid w:val="00031121"/>
    <w:rsid w:val="0003194F"/>
    <w:rsid w:val="00031E4D"/>
    <w:rsid w:val="00033CE9"/>
    <w:rsid w:val="00033FD3"/>
    <w:rsid w:val="0003581A"/>
    <w:rsid w:val="00035F82"/>
    <w:rsid w:val="000372E6"/>
    <w:rsid w:val="00037350"/>
    <w:rsid w:val="0004149E"/>
    <w:rsid w:val="00043339"/>
    <w:rsid w:val="00044BA8"/>
    <w:rsid w:val="000467A9"/>
    <w:rsid w:val="00050556"/>
    <w:rsid w:val="0005060E"/>
    <w:rsid w:val="00053122"/>
    <w:rsid w:val="0005345F"/>
    <w:rsid w:val="0005566A"/>
    <w:rsid w:val="00055D54"/>
    <w:rsid w:val="00055E84"/>
    <w:rsid w:val="0005678B"/>
    <w:rsid w:val="00057CBD"/>
    <w:rsid w:val="00057D46"/>
    <w:rsid w:val="000601C5"/>
    <w:rsid w:val="00060CD2"/>
    <w:rsid w:val="0006132E"/>
    <w:rsid w:val="00062690"/>
    <w:rsid w:val="000650FF"/>
    <w:rsid w:val="00065C0B"/>
    <w:rsid w:val="00066894"/>
    <w:rsid w:val="000669DE"/>
    <w:rsid w:val="0006707F"/>
    <w:rsid w:val="000670BF"/>
    <w:rsid w:val="00067616"/>
    <w:rsid w:val="0007055B"/>
    <w:rsid w:val="000719E1"/>
    <w:rsid w:val="00073AEA"/>
    <w:rsid w:val="00075FB2"/>
    <w:rsid w:val="00076B32"/>
    <w:rsid w:val="0007738D"/>
    <w:rsid w:val="00077993"/>
    <w:rsid w:val="00081C6F"/>
    <w:rsid w:val="000838B3"/>
    <w:rsid w:val="00085270"/>
    <w:rsid w:val="0008528E"/>
    <w:rsid w:val="000852CA"/>
    <w:rsid w:val="00085C3E"/>
    <w:rsid w:val="000862BB"/>
    <w:rsid w:val="00086959"/>
    <w:rsid w:val="0008736D"/>
    <w:rsid w:val="000907C0"/>
    <w:rsid w:val="000914A1"/>
    <w:rsid w:val="00092F7F"/>
    <w:rsid w:val="00095613"/>
    <w:rsid w:val="00096713"/>
    <w:rsid w:val="00096C1A"/>
    <w:rsid w:val="00096FE2"/>
    <w:rsid w:val="0009777A"/>
    <w:rsid w:val="000A2B41"/>
    <w:rsid w:val="000A2E81"/>
    <w:rsid w:val="000A38F4"/>
    <w:rsid w:val="000A3B44"/>
    <w:rsid w:val="000A3C7E"/>
    <w:rsid w:val="000A5062"/>
    <w:rsid w:val="000A527B"/>
    <w:rsid w:val="000A5285"/>
    <w:rsid w:val="000A58E6"/>
    <w:rsid w:val="000A72A7"/>
    <w:rsid w:val="000A745C"/>
    <w:rsid w:val="000B06A4"/>
    <w:rsid w:val="000B0C08"/>
    <w:rsid w:val="000B160F"/>
    <w:rsid w:val="000B1641"/>
    <w:rsid w:val="000B16AB"/>
    <w:rsid w:val="000B1731"/>
    <w:rsid w:val="000B20E5"/>
    <w:rsid w:val="000B277B"/>
    <w:rsid w:val="000B3729"/>
    <w:rsid w:val="000B3E23"/>
    <w:rsid w:val="000B40C0"/>
    <w:rsid w:val="000B4BEB"/>
    <w:rsid w:val="000B65C4"/>
    <w:rsid w:val="000B70CA"/>
    <w:rsid w:val="000C0610"/>
    <w:rsid w:val="000C0BDD"/>
    <w:rsid w:val="000C0FCF"/>
    <w:rsid w:val="000C12FE"/>
    <w:rsid w:val="000C1E7C"/>
    <w:rsid w:val="000C2B67"/>
    <w:rsid w:val="000C3BBC"/>
    <w:rsid w:val="000C592D"/>
    <w:rsid w:val="000C6900"/>
    <w:rsid w:val="000C7027"/>
    <w:rsid w:val="000C7F6D"/>
    <w:rsid w:val="000D08D3"/>
    <w:rsid w:val="000D09DB"/>
    <w:rsid w:val="000D2DB2"/>
    <w:rsid w:val="000D2E20"/>
    <w:rsid w:val="000D3E36"/>
    <w:rsid w:val="000D3F76"/>
    <w:rsid w:val="000D4A7E"/>
    <w:rsid w:val="000D4E93"/>
    <w:rsid w:val="000D58ED"/>
    <w:rsid w:val="000D5FBD"/>
    <w:rsid w:val="000D668F"/>
    <w:rsid w:val="000D7088"/>
    <w:rsid w:val="000E0ED1"/>
    <w:rsid w:val="000E2154"/>
    <w:rsid w:val="000E231F"/>
    <w:rsid w:val="000E45BC"/>
    <w:rsid w:val="000E5A94"/>
    <w:rsid w:val="000E5E80"/>
    <w:rsid w:val="000E6C75"/>
    <w:rsid w:val="000E7290"/>
    <w:rsid w:val="000E75C2"/>
    <w:rsid w:val="000F09D8"/>
    <w:rsid w:val="000F0C4D"/>
    <w:rsid w:val="000F1061"/>
    <w:rsid w:val="000F13E6"/>
    <w:rsid w:val="000F388D"/>
    <w:rsid w:val="000F4FEE"/>
    <w:rsid w:val="000F5FF9"/>
    <w:rsid w:val="000F62DE"/>
    <w:rsid w:val="0010109F"/>
    <w:rsid w:val="00101418"/>
    <w:rsid w:val="00101544"/>
    <w:rsid w:val="001015EF"/>
    <w:rsid w:val="00101A2C"/>
    <w:rsid w:val="00101BF2"/>
    <w:rsid w:val="001027EF"/>
    <w:rsid w:val="00103BFB"/>
    <w:rsid w:val="00104F34"/>
    <w:rsid w:val="0010578B"/>
    <w:rsid w:val="001058BF"/>
    <w:rsid w:val="001061D6"/>
    <w:rsid w:val="0010646B"/>
    <w:rsid w:val="00106A13"/>
    <w:rsid w:val="00106D34"/>
    <w:rsid w:val="00107EC0"/>
    <w:rsid w:val="0011035B"/>
    <w:rsid w:val="0011225F"/>
    <w:rsid w:val="00112C52"/>
    <w:rsid w:val="00112EF6"/>
    <w:rsid w:val="00113BD5"/>
    <w:rsid w:val="00114458"/>
    <w:rsid w:val="00115F71"/>
    <w:rsid w:val="0011658A"/>
    <w:rsid w:val="00116CD3"/>
    <w:rsid w:val="00117F98"/>
    <w:rsid w:val="0012005D"/>
    <w:rsid w:val="00121805"/>
    <w:rsid w:val="00123189"/>
    <w:rsid w:val="0012351D"/>
    <w:rsid w:val="0012367C"/>
    <w:rsid w:val="00123877"/>
    <w:rsid w:val="00124DA6"/>
    <w:rsid w:val="00124ECC"/>
    <w:rsid w:val="0012569F"/>
    <w:rsid w:val="00125A63"/>
    <w:rsid w:val="001267C5"/>
    <w:rsid w:val="00126D56"/>
    <w:rsid w:val="00126F5E"/>
    <w:rsid w:val="00131C85"/>
    <w:rsid w:val="0013570E"/>
    <w:rsid w:val="001370E7"/>
    <w:rsid w:val="00137C30"/>
    <w:rsid w:val="00137F87"/>
    <w:rsid w:val="00137FBF"/>
    <w:rsid w:val="0014178C"/>
    <w:rsid w:val="001432D3"/>
    <w:rsid w:val="00143A23"/>
    <w:rsid w:val="00143E60"/>
    <w:rsid w:val="001451E5"/>
    <w:rsid w:val="001502FA"/>
    <w:rsid w:val="00150632"/>
    <w:rsid w:val="00150F25"/>
    <w:rsid w:val="001532F9"/>
    <w:rsid w:val="00153BC8"/>
    <w:rsid w:val="001541D4"/>
    <w:rsid w:val="00155238"/>
    <w:rsid w:val="00155EE7"/>
    <w:rsid w:val="00157C27"/>
    <w:rsid w:val="001617DC"/>
    <w:rsid w:val="00161BCE"/>
    <w:rsid w:val="00162054"/>
    <w:rsid w:val="00162E63"/>
    <w:rsid w:val="001631E3"/>
    <w:rsid w:val="001636CB"/>
    <w:rsid w:val="0016478E"/>
    <w:rsid w:val="00164A55"/>
    <w:rsid w:val="00165689"/>
    <w:rsid w:val="00165D60"/>
    <w:rsid w:val="00166896"/>
    <w:rsid w:val="001672B6"/>
    <w:rsid w:val="001673FA"/>
    <w:rsid w:val="00167BD7"/>
    <w:rsid w:val="001702AE"/>
    <w:rsid w:val="001710DD"/>
    <w:rsid w:val="001717E2"/>
    <w:rsid w:val="001726F2"/>
    <w:rsid w:val="00172A56"/>
    <w:rsid w:val="001732EC"/>
    <w:rsid w:val="00173EDD"/>
    <w:rsid w:val="00175BBF"/>
    <w:rsid w:val="00175E1C"/>
    <w:rsid w:val="001779D8"/>
    <w:rsid w:val="00181FC8"/>
    <w:rsid w:val="001846DA"/>
    <w:rsid w:val="001854BB"/>
    <w:rsid w:val="001857A2"/>
    <w:rsid w:val="001862A2"/>
    <w:rsid w:val="0018639A"/>
    <w:rsid w:val="00187431"/>
    <w:rsid w:val="001874E8"/>
    <w:rsid w:val="00187B3B"/>
    <w:rsid w:val="001902F6"/>
    <w:rsid w:val="001908BA"/>
    <w:rsid w:val="00190B2B"/>
    <w:rsid w:val="00191F54"/>
    <w:rsid w:val="00191FCF"/>
    <w:rsid w:val="00195787"/>
    <w:rsid w:val="001A33FE"/>
    <w:rsid w:val="001A4CCB"/>
    <w:rsid w:val="001A519C"/>
    <w:rsid w:val="001A5906"/>
    <w:rsid w:val="001A59FF"/>
    <w:rsid w:val="001A5F21"/>
    <w:rsid w:val="001A6099"/>
    <w:rsid w:val="001A6596"/>
    <w:rsid w:val="001A6B95"/>
    <w:rsid w:val="001B0585"/>
    <w:rsid w:val="001B228E"/>
    <w:rsid w:val="001B27A1"/>
    <w:rsid w:val="001B2B76"/>
    <w:rsid w:val="001B3BC0"/>
    <w:rsid w:val="001B3D01"/>
    <w:rsid w:val="001B40CF"/>
    <w:rsid w:val="001B5EDC"/>
    <w:rsid w:val="001B61C3"/>
    <w:rsid w:val="001B6C1A"/>
    <w:rsid w:val="001B6C8F"/>
    <w:rsid w:val="001C0803"/>
    <w:rsid w:val="001C094F"/>
    <w:rsid w:val="001C141A"/>
    <w:rsid w:val="001C1B41"/>
    <w:rsid w:val="001C1C0A"/>
    <w:rsid w:val="001C2BB4"/>
    <w:rsid w:val="001C2DFB"/>
    <w:rsid w:val="001C331C"/>
    <w:rsid w:val="001C36F4"/>
    <w:rsid w:val="001C3C10"/>
    <w:rsid w:val="001C4448"/>
    <w:rsid w:val="001C59E7"/>
    <w:rsid w:val="001C68FC"/>
    <w:rsid w:val="001C7EA9"/>
    <w:rsid w:val="001D0DA6"/>
    <w:rsid w:val="001D11F4"/>
    <w:rsid w:val="001D45CC"/>
    <w:rsid w:val="001D5607"/>
    <w:rsid w:val="001D688F"/>
    <w:rsid w:val="001D7B40"/>
    <w:rsid w:val="001E030A"/>
    <w:rsid w:val="001E0447"/>
    <w:rsid w:val="001E0D3A"/>
    <w:rsid w:val="001E1A13"/>
    <w:rsid w:val="001E32B4"/>
    <w:rsid w:val="001E41BA"/>
    <w:rsid w:val="001E49E2"/>
    <w:rsid w:val="001E4DCC"/>
    <w:rsid w:val="001E4DE3"/>
    <w:rsid w:val="001E5682"/>
    <w:rsid w:val="001F27CE"/>
    <w:rsid w:val="001F2CA7"/>
    <w:rsid w:val="001F3C79"/>
    <w:rsid w:val="001F4799"/>
    <w:rsid w:val="001F5E7F"/>
    <w:rsid w:val="001F7312"/>
    <w:rsid w:val="00201097"/>
    <w:rsid w:val="00204170"/>
    <w:rsid w:val="002043F0"/>
    <w:rsid w:val="002045CD"/>
    <w:rsid w:val="002066EE"/>
    <w:rsid w:val="00206EB9"/>
    <w:rsid w:val="00206EF4"/>
    <w:rsid w:val="00210CD2"/>
    <w:rsid w:val="00211319"/>
    <w:rsid w:val="00212495"/>
    <w:rsid w:val="00214284"/>
    <w:rsid w:val="00215A95"/>
    <w:rsid w:val="00216E3D"/>
    <w:rsid w:val="00217190"/>
    <w:rsid w:val="002201DC"/>
    <w:rsid w:val="00220F78"/>
    <w:rsid w:val="0022292F"/>
    <w:rsid w:val="00222C1D"/>
    <w:rsid w:val="00226B14"/>
    <w:rsid w:val="00227C3A"/>
    <w:rsid w:val="002357BE"/>
    <w:rsid w:val="00236185"/>
    <w:rsid w:val="0023761D"/>
    <w:rsid w:val="00237658"/>
    <w:rsid w:val="002403E0"/>
    <w:rsid w:val="00240E24"/>
    <w:rsid w:val="00241045"/>
    <w:rsid w:val="0024491B"/>
    <w:rsid w:val="00245573"/>
    <w:rsid w:val="00245590"/>
    <w:rsid w:val="002462CE"/>
    <w:rsid w:val="002516CC"/>
    <w:rsid w:val="00254F01"/>
    <w:rsid w:val="00256424"/>
    <w:rsid w:val="0025659D"/>
    <w:rsid w:val="00257F11"/>
    <w:rsid w:val="002628A7"/>
    <w:rsid w:val="002640E9"/>
    <w:rsid w:val="00264924"/>
    <w:rsid w:val="00264C42"/>
    <w:rsid w:val="0026522F"/>
    <w:rsid w:val="0026661C"/>
    <w:rsid w:val="0026670F"/>
    <w:rsid w:val="00270533"/>
    <w:rsid w:val="00270C43"/>
    <w:rsid w:val="00274A7A"/>
    <w:rsid w:val="00274B35"/>
    <w:rsid w:val="00275561"/>
    <w:rsid w:val="00275D83"/>
    <w:rsid w:val="002762EB"/>
    <w:rsid w:val="00276AE9"/>
    <w:rsid w:val="0027759C"/>
    <w:rsid w:val="0028258E"/>
    <w:rsid w:val="002837CE"/>
    <w:rsid w:val="00286392"/>
    <w:rsid w:val="00287DC6"/>
    <w:rsid w:val="00290186"/>
    <w:rsid w:val="002917E6"/>
    <w:rsid w:val="0029270F"/>
    <w:rsid w:val="00292739"/>
    <w:rsid w:val="00292798"/>
    <w:rsid w:val="00294054"/>
    <w:rsid w:val="00294BCE"/>
    <w:rsid w:val="0029517C"/>
    <w:rsid w:val="0029528D"/>
    <w:rsid w:val="002954A0"/>
    <w:rsid w:val="002962D4"/>
    <w:rsid w:val="002971FA"/>
    <w:rsid w:val="002A019F"/>
    <w:rsid w:val="002A07B0"/>
    <w:rsid w:val="002A11F1"/>
    <w:rsid w:val="002A2CA8"/>
    <w:rsid w:val="002A3326"/>
    <w:rsid w:val="002A47D5"/>
    <w:rsid w:val="002A59C5"/>
    <w:rsid w:val="002A6678"/>
    <w:rsid w:val="002A6D63"/>
    <w:rsid w:val="002A6F9F"/>
    <w:rsid w:val="002A7184"/>
    <w:rsid w:val="002B2E78"/>
    <w:rsid w:val="002B343E"/>
    <w:rsid w:val="002B500F"/>
    <w:rsid w:val="002B56D0"/>
    <w:rsid w:val="002B5DCF"/>
    <w:rsid w:val="002B5ECC"/>
    <w:rsid w:val="002B653F"/>
    <w:rsid w:val="002B65FF"/>
    <w:rsid w:val="002C006A"/>
    <w:rsid w:val="002C0773"/>
    <w:rsid w:val="002C3233"/>
    <w:rsid w:val="002C3373"/>
    <w:rsid w:val="002C419E"/>
    <w:rsid w:val="002C4F83"/>
    <w:rsid w:val="002C58CF"/>
    <w:rsid w:val="002C6C97"/>
    <w:rsid w:val="002C7887"/>
    <w:rsid w:val="002D01E3"/>
    <w:rsid w:val="002D178D"/>
    <w:rsid w:val="002D2B25"/>
    <w:rsid w:val="002D3645"/>
    <w:rsid w:val="002D418C"/>
    <w:rsid w:val="002D513E"/>
    <w:rsid w:val="002D6FA5"/>
    <w:rsid w:val="002E04ED"/>
    <w:rsid w:val="002E34BD"/>
    <w:rsid w:val="002E7032"/>
    <w:rsid w:val="002E79FB"/>
    <w:rsid w:val="002E7D5E"/>
    <w:rsid w:val="002F1015"/>
    <w:rsid w:val="002F1487"/>
    <w:rsid w:val="002F27C8"/>
    <w:rsid w:val="002F2984"/>
    <w:rsid w:val="002F63D8"/>
    <w:rsid w:val="002F68C1"/>
    <w:rsid w:val="00302799"/>
    <w:rsid w:val="0030372C"/>
    <w:rsid w:val="00304814"/>
    <w:rsid w:val="00304DF0"/>
    <w:rsid w:val="0030505B"/>
    <w:rsid w:val="00306108"/>
    <w:rsid w:val="00306451"/>
    <w:rsid w:val="00306A21"/>
    <w:rsid w:val="00306C58"/>
    <w:rsid w:val="00307CB8"/>
    <w:rsid w:val="00307CC4"/>
    <w:rsid w:val="0031003C"/>
    <w:rsid w:val="003119C5"/>
    <w:rsid w:val="00312164"/>
    <w:rsid w:val="00312FCB"/>
    <w:rsid w:val="003130A2"/>
    <w:rsid w:val="00314015"/>
    <w:rsid w:val="0031409D"/>
    <w:rsid w:val="003151BE"/>
    <w:rsid w:val="0031661B"/>
    <w:rsid w:val="00317876"/>
    <w:rsid w:val="00317883"/>
    <w:rsid w:val="00317A56"/>
    <w:rsid w:val="00317E09"/>
    <w:rsid w:val="00321A8F"/>
    <w:rsid w:val="003227FD"/>
    <w:rsid w:val="00322DAD"/>
    <w:rsid w:val="00322FAA"/>
    <w:rsid w:val="00324722"/>
    <w:rsid w:val="00326CFD"/>
    <w:rsid w:val="003300D7"/>
    <w:rsid w:val="00331755"/>
    <w:rsid w:val="00331B8E"/>
    <w:rsid w:val="00331E26"/>
    <w:rsid w:val="00331E30"/>
    <w:rsid w:val="00332376"/>
    <w:rsid w:val="00333E8A"/>
    <w:rsid w:val="0033438B"/>
    <w:rsid w:val="00334948"/>
    <w:rsid w:val="00334AE5"/>
    <w:rsid w:val="00334F16"/>
    <w:rsid w:val="0033624A"/>
    <w:rsid w:val="0033656D"/>
    <w:rsid w:val="0033697D"/>
    <w:rsid w:val="0034106B"/>
    <w:rsid w:val="00341780"/>
    <w:rsid w:val="0034186E"/>
    <w:rsid w:val="0034233B"/>
    <w:rsid w:val="00343035"/>
    <w:rsid w:val="003460DD"/>
    <w:rsid w:val="00346A14"/>
    <w:rsid w:val="00347546"/>
    <w:rsid w:val="003509BD"/>
    <w:rsid w:val="00351A7E"/>
    <w:rsid w:val="00352B8A"/>
    <w:rsid w:val="0035304B"/>
    <w:rsid w:val="0035369A"/>
    <w:rsid w:val="00353A5B"/>
    <w:rsid w:val="003546BA"/>
    <w:rsid w:val="00356222"/>
    <w:rsid w:val="00356B88"/>
    <w:rsid w:val="00360107"/>
    <w:rsid w:val="003607F0"/>
    <w:rsid w:val="00360BF0"/>
    <w:rsid w:val="00361479"/>
    <w:rsid w:val="00362D02"/>
    <w:rsid w:val="00363C05"/>
    <w:rsid w:val="003644A6"/>
    <w:rsid w:val="0036564E"/>
    <w:rsid w:val="00365A23"/>
    <w:rsid w:val="00365ADD"/>
    <w:rsid w:val="00365DC4"/>
    <w:rsid w:val="003660EF"/>
    <w:rsid w:val="00366C17"/>
    <w:rsid w:val="0036741E"/>
    <w:rsid w:val="00370095"/>
    <w:rsid w:val="00371460"/>
    <w:rsid w:val="003722E4"/>
    <w:rsid w:val="003726B3"/>
    <w:rsid w:val="00373029"/>
    <w:rsid w:val="003737A7"/>
    <w:rsid w:val="003756D4"/>
    <w:rsid w:val="00376C79"/>
    <w:rsid w:val="00376DFB"/>
    <w:rsid w:val="003778AE"/>
    <w:rsid w:val="00380C26"/>
    <w:rsid w:val="00380FF6"/>
    <w:rsid w:val="00381364"/>
    <w:rsid w:val="00381D19"/>
    <w:rsid w:val="0038362F"/>
    <w:rsid w:val="00383B97"/>
    <w:rsid w:val="00386D0B"/>
    <w:rsid w:val="0038742C"/>
    <w:rsid w:val="00387BC0"/>
    <w:rsid w:val="00387EAF"/>
    <w:rsid w:val="00390489"/>
    <w:rsid w:val="00390E06"/>
    <w:rsid w:val="00391F40"/>
    <w:rsid w:val="00392F6E"/>
    <w:rsid w:val="00393EBD"/>
    <w:rsid w:val="003956EA"/>
    <w:rsid w:val="00396F5D"/>
    <w:rsid w:val="003977F1"/>
    <w:rsid w:val="003A1382"/>
    <w:rsid w:val="003A3D2F"/>
    <w:rsid w:val="003A4CBC"/>
    <w:rsid w:val="003A5010"/>
    <w:rsid w:val="003A6DC4"/>
    <w:rsid w:val="003B0B34"/>
    <w:rsid w:val="003B32F6"/>
    <w:rsid w:val="003B4C35"/>
    <w:rsid w:val="003B57E2"/>
    <w:rsid w:val="003B7837"/>
    <w:rsid w:val="003B7D49"/>
    <w:rsid w:val="003C11B4"/>
    <w:rsid w:val="003C19D3"/>
    <w:rsid w:val="003C2D85"/>
    <w:rsid w:val="003C4FA3"/>
    <w:rsid w:val="003C73DC"/>
    <w:rsid w:val="003C757C"/>
    <w:rsid w:val="003C78CB"/>
    <w:rsid w:val="003D143D"/>
    <w:rsid w:val="003D3EA1"/>
    <w:rsid w:val="003D4C0D"/>
    <w:rsid w:val="003D641A"/>
    <w:rsid w:val="003D79C0"/>
    <w:rsid w:val="003D7B8A"/>
    <w:rsid w:val="003E1E30"/>
    <w:rsid w:val="003E29EF"/>
    <w:rsid w:val="003E2CB4"/>
    <w:rsid w:val="003E3A7C"/>
    <w:rsid w:val="003E4306"/>
    <w:rsid w:val="003E46D2"/>
    <w:rsid w:val="003E5FE9"/>
    <w:rsid w:val="003E7169"/>
    <w:rsid w:val="003F0007"/>
    <w:rsid w:val="003F073E"/>
    <w:rsid w:val="003F2726"/>
    <w:rsid w:val="003F3865"/>
    <w:rsid w:val="003F45F7"/>
    <w:rsid w:val="003F49A4"/>
    <w:rsid w:val="003F6091"/>
    <w:rsid w:val="003F673E"/>
    <w:rsid w:val="003F6D76"/>
    <w:rsid w:val="003F735E"/>
    <w:rsid w:val="004003CB"/>
    <w:rsid w:val="00400B7E"/>
    <w:rsid w:val="004023E9"/>
    <w:rsid w:val="004026A1"/>
    <w:rsid w:val="0040376E"/>
    <w:rsid w:val="004057C8"/>
    <w:rsid w:val="00405D2B"/>
    <w:rsid w:val="00407481"/>
    <w:rsid w:val="0041045C"/>
    <w:rsid w:val="00410563"/>
    <w:rsid w:val="004133BD"/>
    <w:rsid w:val="004140F1"/>
    <w:rsid w:val="004169A4"/>
    <w:rsid w:val="004169D2"/>
    <w:rsid w:val="00416A8F"/>
    <w:rsid w:val="00416FCC"/>
    <w:rsid w:val="004201FF"/>
    <w:rsid w:val="00420C0C"/>
    <w:rsid w:val="00421063"/>
    <w:rsid w:val="00422091"/>
    <w:rsid w:val="004222A5"/>
    <w:rsid w:val="004227B1"/>
    <w:rsid w:val="00423117"/>
    <w:rsid w:val="00423D44"/>
    <w:rsid w:val="00423EEC"/>
    <w:rsid w:val="00424BE0"/>
    <w:rsid w:val="0042582C"/>
    <w:rsid w:val="004268AA"/>
    <w:rsid w:val="00426D46"/>
    <w:rsid w:val="00427FB4"/>
    <w:rsid w:val="00430168"/>
    <w:rsid w:val="0043142F"/>
    <w:rsid w:val="0043149F"/>
    <w:rsid w:val="00434BD0"/>
    <w:rsid w:val="00436410"/>
    <w:rsid w:val="00436A01"/>
    <w:rsid w:val="00437D49"/>
    <w:rsid w:val="00441BEB"/>
    <w:rsid w:val="00442024"/>
    <w:rsid w:val="00442BF3"/>
    <w:rsid w:val="00444BE2"/>
    <w:rsid w:val="00446652"/>
    <w:rsid w:val="004502D9"/>
    <w:rsid w:val="004519FE"/>
    <w:rsid w:val="00451E23"/>
    <w:rsid w:val="004522BE"/>
    <w:rsid w:val="004527C7"/>
    <w:rsid w:val="00452D30"/>
    <w:rsid w:val="00454871"/>
    <w:rsid w:val="00454C71"/>
    <w:rsid w:val="00454FDD"/>
    <w:rsid w:val="00455581"/>
    <w:rsid w:val="00455A81"/>
    <w:rsid w:val="00456315"/>
    <w:rsid w:val="0046096E"/>
    <w:rsid w:val="004609BB"/>
    <w:rsid w:val="0046208A"/>
    <w:rsid w:val="004623FD"/>
    <w:rsid w:val="0046395B"/>
    <w:rsid w:val="00463DC1"/>
    <w:rsid w:val="004646AF"/>
    <w:rsid w:val="00464966"/>
    <w:rsid w:val="00465B6A"/>
    <w:rsid w:val="0046632B"/>
    <w:rsid w:val="00466732"/>
    <w:rsid w:val="00466DAD"/>
    <w:rsid w:val="004673AA"/>
    <w:rsid w:val="0046797E"/>
    <w:rsid w:val="00470FB2"/>
    <w:rsid w:val="00473691"/>
    <w:rsid w:val="00474EB9"/>
    <w:rsid w:val="00476C51"/>
    <w:rsid w:val="00477EDA"/>
    <w:rsid w:val="0048092D"/>
    <w:rsid w:val="0048416E"/>
    <w:rsid w:val="00485F17"/>
    <w:rsid w:val="0048652F"/>
    <w:rsid w:val="00486B29"/>
    <w:rsid w:val="0048719C"/>
    <w:rsid w:val="00487713"/>
    <w:rsid w:val="004932EC"/>
    <w:rsid w:val="004939BD"/>
    <w:rsid w:val="00493B94"/>
    <w:rsid w:val="0049507E"/>
    <w:rsid w:val="00495444"/>
    <w:rsid w:val="00495DBC"/>
    <w:rsid w:val="004962C1"/>
    <w:rsid w:val="004A0E59"/>
    <w:rsid w:val="004A16D5"/>
    <w:rsid w:val="004A1A74"/>
    <w:rsid w:val="004A2D1F"/>
    <w:rsid w:val="004A3EFF"/>
    <w:rsid w:val="004A7F6E"/>
    <w:rsid w:val="004B1207"/>
    <w:rsid w:val="004B1578"/>
    <w:rsid w:val="004B2016"/>
    <w:rsid w:val="004B50F8"/>
    <w:rsid w:val="004B5310"/>
    <w:rsid w:val="004C05BB"/>
    <w:rsid w:val="004C0E59"/>
    <w:rsid w:val="004C12D8"/>
    <w:rsid w:val="004C1DE4"/>
    <w:rsid w:val="004C2460"/>
    <w:rsid w:val="004C2632"/>
    <w:rsid w:val="004C2D6A"/>
    <w:rsid w:val="004C3A57"/>
    <w:rsid w:val="004C3AE2"/>
    <w:rsid w:val="004C3FC6"/>
    <w:rsid w:val="004C6DCF"/>
    <w:rsid w:val="004D2BCA"/>
    <w:rsid w:val="004D2D84"/>
    <w:rsid w:val="004D2E52"/>
    <w:rsid w:val="004D3DC7"/>
    <w:rsid w:val="004D3E11"/>
    <w:rsid w:val="004D4106"/>
    <w:rsid w:val="004D53E1"/>
    <w:rsid w:val="004D54A3"/>
    <w:rsid w:val="004D6F49"/>
    <w:rsid w:val="004E097D"/>
    <w:rsid w:val="004E0C48"/>
    <w:rsid w:val="004E1481"/>
    <w:rsid w:val="004E26B0"/>
    <w:rsid w:val="004E3775"/>
    <w:rsid w:val="004E3AC6"/>
    <w:rsid w:val="004E4404"/>
    <w:rsid w:val="004E47D3"/>
    <w:rsid w:val="004E47E1"/>
    <w:rsid w:val="004E49BA"/>
    <w:rsid w:val="004E62B1"/>
    <w:rsid w:val="004E7A8C"/>
    <w:rsid w:val="004E7F48"/>
    <w:rsid w:val="004F3D53"/>
    <w:rsid w:val="004F43D0"/>
    <w:rsid w:val="004F580F"/>
    <w:rsid w:val="004F6867"/>
    <w:rsid w:val="004F6E0C"/>
    <w:rsid w:val="004F6E6C"/>
    <w:rsid w:val="004F7902"/>
    <w:rsid w:val="0050044C"/>
    <w:rsid w:val="00500452"/>
    <w:rsid w:val="00500F3D"/>
    <w:rsid w:val="00504FCF"/>
    <w:rsid w:val="0050546E"/>
    <w:rsid w:val="0050572E"/>
    <w:rsid w:val="00505BA0"/>
    <w:rsid w:val="005067DB"/>
    <w:rsid w:val="00507A78"/>
    <w:rsid w:val="00511C76"/>
    <w:rsid w:val="0051498A"/>
    <w:rsid w:val="00514B3B"/>
    <w:rsid w:val="00514CCC"/>
    <w:rsid w:val="00514EC2"/>
    <w:rsid w:val="005152EB"/>
    <w:rsid w:val="005157BA"/>
    <w:rsid w:val="00516B27"/>
    <w:rsid w:val="005227E1"/>
    <w:rsid w:val="005231D3"/>
    <w:rsid w:val="0052407B"/>
    <w:rsid w:val="00524DDA"/>
    <w:rsid w:val="00525245"/>
    <w:rsid w:val="00525AA3"/>
    <w:rsid w:val="00525AC4"/>
    <w:rsid w:val="00525F4A"/>
    <w:rsid w:val="00526A01"/>
    <w:rsid w:val="00526AC2"/>
    <w:rsid w:val="00526F60"/>
    <w:rsid w:val="00532B91"/>
    <w:rsid w:val="0053519F"/>
    <w:rsid w:val="0053591E"/>
    <w:rsid w:val="0053628B"/>
    <w:rsid w:val="00536764"/>
    <w:rsid w:val="00536C87"/>
    <w:rsid w:val="00536D8F"/>
    <w:rsid w:val="00537801"/>
    <w:rsid w:val="00540BA8"/>
    <w:rsid w:val="005434AC"/>
    <w:rsid w:val="00543A51"/>
    <w:rsid w:val="00543EB3"/>
    <w:rsid w:val="00545400"/>
    <w:rsid w:val="00551E36"/>
    <w:rsid w:val="005527EA"/>
    <w:rsid w:val="00553686"/>
    <w:rsid w:val="005548F9"/>
    <w:rsid w:val="00555BAF"/>
    <w:rsid w:val="00555EBD"/>
    <w:rsid w:val="00556C4F"/>
    <w:rsid w:val="005606E3"/>
    <w:rsid w:val="00560884"/>
    <w:rsid w:val="00564291"/>
    <w:rsid w:val="00564965"/>
    <w:rsid w:val="00565892"/>
    <w:rsid w:val="00565E03"/>
    <w:rsid w:val="00565F7A"/>
    <w:rsid w:val="00566BE8"/>
    <w:rsid w:val="00566C92"/>
    <w:rsid w:val="0057221F"/>
    <w:rsid w:val="0057369A"/>
    <w:rsid w:val="00573B60"/>
    <w:rsid w:val="00573D93"/>
    <w:rsid w:val="00574E7E"/>
    <w:rsid w:val="0057516C"/>
    <w:rsid w:val="00575AAE"/>
    <w:rsid w:val="005768D0"/>
    <w:rsid w:val="005772A4"/>
    <w:rsid w:val="00580116"/>
    <w:rsid w:val="005828CF"/>
    <w:rsid w:val="00583979"/>
    <w:rsid w:val="00584239"/>
    <w:rsid w:val="0058477B"/>
    <w:rsid w:val="00585364"/>
    <w:rsid w:val="00585DD6"/>
    <w:rsid w:val="005876E8"/>
    <w:rsid w:val="00587A00"/>
    <w:rsid w:val="00590D78"/>
    <w:rsid w:val="00591723"/>
    <w:rsid w:val="00591BB1"/>
    <w:rsid w:val="00591CE3"/>
    <w:rsid w:val="005927E2"/>
    <w:rsid w:val="00592F43"/>
    <w:rsid w:val="005933E1"/>
    <w:rsid w:val="005937AE"/>
    <w:rsid w:val="00593A10"/>
    <w:rsid w:val="00594921"/>
    <w:rsid w:val="00595489"/>
    <w:rsid w:val="00595BDB"/>
    <w:rsid w:val="0059610D"/>
    <w:rsid w:val="0059669C"/>
    <w:rsid w:val="00597DA7"/>
    <w:rsid w:val="005A0154"/>
    <w:rsid w:val="005A0525"/>
    <w:rsid w:val="005A15A6"/>
    <w:rsid w:val="005A4309"/>
    <w:rsid w:val="005A4F5B"/>
    <w:rsid w:val="005A5303"/>
    <w:rsid w:val="005A6E29"/>
    <w:rsid w:val="005A6EEB"/>
    <w:rsid w:val="005B3A7E"/>
    <w:rsid w:val="005B4E14"/>
    <w:rsid w:val="005B5476"/>
    <w:rsid w:val="005B5752"/>
    <w:rsid w:val="005B5D7E"/>
    <w:rsid w:val="005B5F9E"/>
    <w:rsid w:val="005B6486"/>
    <w:rsid w:val="005C09B9"/>
    <w:rsid w:val="005C22D8"/>
    <w:rsid w:val="005C2496"/>
    <w:rsid w:val="005C32E0"/>
    <w:rsid w:val="005C3571"/>
    <w:rsid w:val="005C66F4"/>
    <w:rsid w:val="005C71D3"/>
    <w:rsid w:val="005C71DD"/>
    <w:rsid w:val="005C7579"/>
    <w:rsid w:val="005C7F01"/>
    <w:rsid w:val="005D1C30"/>
    <w:rsid w:val="005D3040"/>
    <w:rsid w:val="005D3A81"/>
    <w:rsid w:val="005D5B9C"/>
    <w:rsid w:val="005D5FCF"/>
    <w:rsid w:val="005D6178"/>
    <w:rsid w:val="005D6B93"/>
    <w:rsid w:val="005D7105"/>
    <w:rsid w:val="005D7110"/>
    <w:rsid w:val="005E10DD"/>
    <w:rsid w:val="005E143D"/>
    <w:rsid w:val="005E1FFD"/>
    <w:rsid w:val="005E39C8"/>
    <w:rsid w:val="005E3A04"/>
    <w:rsid w:val="005E49D3"/>
    <w:rsid w:val="005E5F3D"/>
    <w:rsid w:val="005E771E"/>
    <w:rsid w:val="005E7A64"/>
    <w:rsid w:val="005F0EE7"/>
    <w:rsid w:val="005F1801"/>
    <w:rsid w:val="005F21AD"/>
    <w:rsid w:val="005F5D86"/>
    <w:rsid w:val="005F62DB"/>
    <w:rsid w:val="005F6770"/>
    <w:rsid w:val="005F684C"/>
    <w:rsid w:val="005F6AB2"/>
    <w:rsid w:val="005F7EB6"/>
    <w:rsid w:val="0060451D"/>
    <w:rsid w:val="006058B6"/>
    <w:rsid w:val="00605F23"/>
    <w:rsid w:val="0060612B"/>
    <w:rsid w:val="006102FD"/>
    <w:rsid w:val="00610AD4"/>
    <w:rsid w:val="00610E00"/>
    <w:rsid w:val="00610F5A"/>
    <w:rsid w:val="00611B31"/>
    <w:rsid w:val="00612753"/>
    <w:rsid w:val="00613017"/>
    <w:rsid w:val="00613392"/>
    <w:rsid w:val="00613C80"/>
    <w:rsid w:val="00616659"/>
    <w:rsid w:val="006166B3"/>
    <w:rsid w:val="00616CAA"/>
    <w:rsid w:val="006178EA"/>
    <w:rsid w:val="006216F0"/>
    <w:rsid w:val="00621A8B"/>
    <w:rsid w:val="00622DD0"/>
    <w:rsid w:val="00623F5F"/>
    <w:rsid w:val="00623FFC"/>
    <w:rsid w:val="0062424A"/>
    <w:rsid w:val="006243C6"/>
    <w:rsid w:val="00625838"/>
    <w:rsid w:val="00625EF0"/>
    <w:rsid w:val="00626666"/>
    <w:rsid w:val="00630570"/>
    <w:rsid w:val="0063088E"/>
    <w:rsid w:val="006308C8"/>
    <w:rsid w:val="00630AA9"/>
    <w:rsid w:val="00632A98"/>
    <w:rsid w:val="0063487B"/>
    <w:rsid w:val="00634B0C"/>
    <w:rsid w:val="00636CC2"/>
    <w:rsid w:val="00637AE1"/>
    <w:rsid w:val="00640233"/>
    <w:rsid w:val="00640533"/>
    <w:rsid w:val="00642710"/>
    <w:rsid w:val="00642D92"/>
    <w:rsid w:val="00644B20"/>
    <w:rsid w:val="00644B45"/>
    <w:rsid w:val="00645EB2"/>
    <w:rsid w:val="00646932"/>
    <w:rsid w:val="00646C3A"/>
    <w:rsid w:val="0064718D"/>
    <w:rsid w:val="006471E4"/>
    <w:rsid w:val="006479C6"/>
    <w:rsid w:val="00647BC0"/>
    <w:rsid w:val="00647C96"/>
    <w:rsid w:val="006507D2"/>
    <w:rsid w:val="00651281"/>
    <w:rsid w:val="0065141A"/>
    <w:rsid w:val="006527F3"/>
    <w:rsid w:val="00655A57"/>
    <w:rsid w:val="00656841"/>
    <w:rsid w:val="00656AA9"/>
    <w:rsid w:val="00657541"/>
    <w:rsid w:val="006604C9"/>
    <w:rsid w:val="00660906"/>
    <w:rsid w:val="006624C2"/>
    <w:rsid w:val="006629AA"/>
    <w:rsid w:val="00665C8D"/>
    <w:rsid w:val="00665D20"/>
    <w:rsid w:val="00667224"/>
    <w:rsid w:val="0067097F"/>
    <w:rsid w:val="00670A1E"/>
    <w:rsid w:val="00670DC9"/>
    <w:rsid w:val="006722C3"/>
    <w:rsid w:val="0067242F"/>
    <w:rsid w:val="0067429E"/>
    <w:rsid w:val="00674751"/>
    <w:rsid w:val="0067638F"/>
    <w:rsid w:val="00676A1E"/>
    <w:rsid w:val="00677F9B"/>
    <w:rsid w:val="006801BF"/>
    <w:rsid w:val="00681812"/>
    <w:rsid w:val="00681FF3"/>
    <w:rsid w:val="00682194"/>
    <w:rsid w:val="00682A3D"/>
    <w:rsid w:val="00683202"/>
    <w:rsid w:val="00683A7D"/>
    <w:rsid w:val="00684314"/>
    <w:rsid w:val="00685382"/>
    <w:rsid w:val="00687463"/>
    <w:rsid w:val="00687B81"/>
    <w:rsid w:val="006910F4"/>
    <w:rsid w:val="00692196"/>
    <w:rsid w:val="00692316"/>
    <w:rsid w:val="0069329C"/>
    <w:rsid w:val="00693DE0"/>
    <w:rsid w:val="00693F43"/>
    <w:rsid w:val="00694223"/>
    <w:rsid w:val="006956EE"/>
    <w:rsid w:val="006961FC"/>
    <w:rsid w:val="00696F44"/>
    <w:rsid w:val="00697A11"/>
    <w:rsid w:val="006A1F96"/>
    <w:rsid w:val="006A2D99"/>
    <w:rsid w:val="006A2FF3"/>
    <w:rsid w:val="006A3B36"/>
    <w:rsid w:val="006A5199"/>
    <w:rsid w:val="006A5418"/>
    <w:rsid w:val="006A6A09"/>
    <w:rsid w:val="006A6F6E"/>
    <w:rsid w:val="006A7A6F"/>
    <w:rsid w:val="006B0AFF"/>
    <w:rsid w:val="006B15BE"/>
    <w:rsid w:val="006B229E"/>
    <w:rsid w:val="006B26C4"/>
    <w:rsid w:val="006B3D90"/>
    <w:rsid w:val="006B63A0"/>
    <w:rsid w:val="006B6A42"/>
    <w:rsid w:val="006B777D"/>
    <w:rsid w:val="006C03A1"/>
    <w:rsid w:val="006C2425"/>
    <w:rsid w:val="006C28CE"/>
    <w:rsid w:val="006C4135"/>
    <w:rsid w:val="006C5777"/>
    <w:rsid w:val="006C5CFE"/>
    <w:rsid w:val="006C67E3"/>
    <w:rsid w:val="006D08B7"/>
    <w:rsid w:val="006D2DA0"/>
    <w:rsid w:val="006D3F47"/>
    <w:rsid w:val="006D6977"/>
    <w:rsid w:val="006E0712"/>
    <w:rsid w:val="006E09A1"/>
    <w:rsid w:val="006E0A93"/>
    <w:rsid w:val="006E122B"/>
    <w:rsid w:val="006E187E"/>
    <w:rsid w:val="006E1BC0"/>
    <w:rsid w:val="006E259B"/>
    <w:rsid w:val="006E27CA"/>
    <w:rsid w:val="006E28AE"/>
    <w:rsid w:val="006E34D5"/>
    <w:rsid w:val="006E485C"/>
    <w:rsid w:val="006E5386"/>
    <w:rsid w:val="006E5540"/>
    <w:rsid w:val="006E7579"/>
    <w:rsid w:val="006E7987"/>
    <w:rsid w:val="006F0E45"/>
    <w:rsid w:val="006F1F37"/>
    <w:rsid w:val="006F3CFC"/>
    <w:rsid w:val="006F4BA6"/>
    <w:rsid w:val="006F60AA"/>
    <w:rsid w:val="006F7D26"/>
    <w:rsid w:val="006F7F4E"/>
    <w:rsid w:val="00701201"/>
    <w:rsid w:val="00702E94"/>
    <w:rsid w:val="00703157"/>
    <w:rsid w:val="00703A2C"/>
    <w:rsid w:val="00703BA2"/>
    <w:rsid w:val="00703EF3"/>
    <w:rsid w:val="00704535"/>
    <w:rsid w:val="00705F96"/>
    <w:rsid w:val="007063DF"/>
    <w:rsid w:val="00712491"/>
    <w:rsid w:val="007132C8"/>
    <w:rsid w:val="007146C0"/>
    <w:rsid w:val="0071519D"/>
    <w:rsid w:val="00716741"/>
    <w:rsid w:val="00720147"/>
    <w:rsid w:val="00722AB9"/>
    <w:rsid w:val="00722DDC"/>
    <w:rsid w:val="007236E9"/>
    <w:rsid w:val="00725CAD"/>
    <w:rsid w:val="007263B5"/>
    <w:rsid w:val="00731BE8"/>
    <w:rsid w:val="007323C4"/>
    <w:rsid w:val="007344B5"/>
    <w:rsid w:val="007344BA"/>
    <w:rsid w:val="00735ADB"/>
    <w:rsid w:val="00736539"/>
    <w:rsid w:val="00736C8D"/>
    <w:rsid w:val="00740092"/>
    <w:rsid w:val="0074364E"/>
    <w:rsid w:val="00744BEB"/>
    <w:rsid w:val="00747370"/>
    <w:rsid w:val="0075000D"/>
    <w:rsid w:val="00750A5D"/>
    <w:rsid w:val="00751ACB"/>
    <w:rsid w:val="00753DD5"/>
    <w:rsid w:val="0075460E"/>
    <w:rsid w:val="00754FD3"/>
    <w:rsid w:val="00755375"/>
    <w:rsid w:val="00756348"/>
    <w:rsid w:val="00756C4A"/>
    <w:rsid w:val="00756D42"/>
    <w:rsid w:val="00756FCD"/>
    <w:rsid w:val="0075703A"/>
    <w:rsid w:val="00761FC0"/>
    <w:rsid w:val="007626AD"/>
    <w:rsid w:val="0076298B"/>
    <w:rsid w:val="00764D2C"/>
    <w:rsid w:val="00765038"/>
    <w:rsid w:val="00765276"/>
    <w:rsid w:val="007662F6"/>
    <w:rsid w:val="0076749E"/>
    <w:rsid w:val="00770E68"/>
    <w:rsid w:val="00771AB2"/>
    <w:rsid w:val="0077387F"/>
    <w:rsid w:val="00773887"/>
    <w:rsid w:val="00775EF5"/>
    <w:rsid w:val="007760FB"/>
    <w:rsid w:val="007763E0"/>
    <w:rsid w:val="00776B05"/>
    <w:rsid w:val="007771C9"/>
    <w:rsid w:val="00777822"/>
    <w:rsid w:val="0078006A"/>
    <w:rsid w:val="00780AAA"/>
    <w:rsid w:val="00780E34"/>
    <w:rsid w:val="00782390"/>
    <w:rsid w:val="007864CB"/>
    <w:rsid w:val="00787005"/>
    <w:rsid w:val="00791A56"/>
    <w:rsid w:val="00791BB0"/>
    <w:rsid w:val="0079362B"/>
    <w:rsid w:val="00793A93"/>
    <w:rsid w:val="00794A2F"/>
    <w:rsid w:val="00794B11"/>
    <w:rsid w:val="00794CF9"/>
    <w:rsid w:val="007951E8"/>
    <w:rsid w:val="0079526E"/>
    <w:rsid w:val="007962DD"/>
    <w:rsid w:val="00797769"/>
    <w:rsid w:val="00797D1F"/>
    <w:rsid w:val="007A0349"/>
    <w:rsid w:val="007A39A5"/>
    <w:rsid w:val="007A3AD0"/>
    <w:rsid w:val="007A5A36"/>
    <w:rsid w:val="007A5EE3"/>
    <w:rsid w:val="007A78BC"/>
    <w:rsid w:val="007A7939"/>
    <w:rsid w:val="007A7D30"/>
    <w:rsid w:val="007B17AC"/>
    <w:rsid w:val="007B33DD"/>
    <w:rsid w:val="007B37FA"/>
    <w:rsid w:val="007B4737"/>
    <w:rsid w:val="007B712A"/>
    <w:rsid w:val="007C0A49"/>
    <w:rsid w:val="007C330B"/>
    <w:rsid w:val="007C5E7D"/>
    <w:rsid w:val="007C6357"/>
    <w:rsid w:val="007C742F"/>
    <w:rsid w:val="007C7BB2"/>
    <w:rsid w:val="007D0803"/>
    <w:rsid w:val="007D1DBB"/>
    <w:rsid w:val="007D300D"/>
    <w:rsid w:val="007D41E3"/>
    <w:rsid w:val="007D4727"/>
    <w:rsid w:val="007D54D8"/>
    <w:rsid w:val="007D6097"/>
    <w:rsid w:val="007D67CD"/>
    <w:rsid w:val="007D6FAC"/>
    <w:rsid w:val="007D731B"/>
    <w:rsid w:val="007D74E5"/>
    <w:rsid w:val="007D7EAE"/>
    <w:rsid w:val="007E1CE9"/>
    <w:rsid w:val="007E2822"/>
    <w:rsid w:val="007E31EA"/>
    <w:rsid w:val="007E3875"/>
    <w:rsid w:val="007E4D66"/>
    <w:rsid w:val="007E4FEA"/>
    <w:rsid w:val="007E5503"/>
    <w:rsid w:val="007E7D78"/>
    <w:rsid w:val="007F1426"/>
    <w:rsid w:val="007F162C"/>
    <w:rsid w:val="007F1A7C"/>
    <w:rsid w:val="007F4E6D"/>
    <w:rsid w:val="007F5872"/>
    <w:rsid w:val="007F64AF"/>
    <w:rsid w:val="007F67AE"/>
    <w:rsid w:val="007F7470"/>
    <w:rsid w:val="00800090"/>
    <w:rsid w:val="008014FC"/>
    <w:rsid w:val="0080307A"/>
    <w:rsid w:val="00803791"/>
    <w:rsid w:val="008042B7"/>
    <w:rsid w:val="008070CE"/>
    <w:rsid w:val="00807AE5"/>
    <w:rsid w:val="00811B6D"/>
    <w:rsid w:val="00811B82"/>
    <w:rsid w:val="00813312"/>
    <w:rsid w:val="008138AE"/>
    <w:rsid w:val="00814285"/>
    <w:rsid w:val="00814A19"/>
    <w:rsid w:val="00815122"/>
    <w:rsid w:val="008157E5"/>
    <w:rsid w:val="008166B2"/>
    <w:rsid w:val="008202C5"/>
    <w:rsid w:val="0082130C"/>
    <w:rsid w:val="00821738"/>
    <w:rsid w:val="00821F95"/>
    <w:rsid w:val="00822C29"/>
    <w:rsid w:val="0082330C"/>
    <w:rsid w:val="008245BD"/>
    <w:rsid w:val="008253AE"/>
    <w:rsid w:val="00827EE4"/>
    <w:rsid w:val="00832188"/>
    <w:rsid w:val="00832546"/>
    <w:rsid w:val="0083291E"/>
    <w:rsid w:val="00834B2D"/>
    <w:rsid w:val="0083507A"/>
    <w:rsid w:val="00835686"/>
    <w:rsid w:val="00837202"/>
    <w:rsid w:val="0083765A"/>
    <w:rsid w:val="008404DA"/>
    <w:rsid w:val="00842DE6"/>
    <w:rsid w:val="0084380F"/>
    <w:rsid w:val="00843AA6"/>
    <w:rsid w:val="00844DD2"/>
    <w:rsid w:val="00845638"/>
    <w:rsid w:val="00845C1C"/>
    <w:rsid w:val="0084614C"/>
    <w:rsid w:val="00847D5C"/>
    <w:rsid w:val="008503E6"/>
    <w:rsid w:val="0085085D"/>
    <w:rsid w:val="0085089D"/>
    <w:rsid w:val="00851F9B"/>
    <w:rsid w:val="00852444"/>
    <w:rsid w:val="0085249B"/>
    <w:rsid w:val="008528DB"/>
    <w:rsid w:val="008536AD"/>
    <w:rsid w:val="00853FCF"/>
    <w:rsid w:val="00854655"/>
    <w:rsid w:val="008548AB"/>
    <w:rsid w:val="00855A0E"/>
    <w:rsid w:val="00856676"/>
    <w:rsid w:val="008567D3"/>
    <w:rsid w:val="00857D94"/>
    <w:rsid w:val="00860286"/>
    <w:rsid w:val="00860731"/>
    <w:rsid w:val="0086132B"/>
    <w:rsid w:val="00862B26"/>
    <w:rsid w:val="00862D81"/>
    <w:rsid w:val="00862F5A"/>
    <w:rsid w:val="00863279"/>
    <w:rsid w:val="00871902"/>
    <w:rsid w:val="0087290F"/>
    <w:rsid w:val="00874840"/>
    <w:rsid w:val="00874B03"/>
    <w:rsid w:val="00874D36"/>
    <w:rsid w:val="0087664C"/>
    <w:rsid w:val="008773A2"/>
    <w:rsid w:val="0087797D"/>
    <w:rsid w:val="0088099A"/>
    <w:rsid w:val="00881D25"/>
    <w:rsid w:val="00883DCA"/>
    <w:rsid w:val="0088406A"/>
    <w:rsid w:val="0088504E"/>
    <w:rsid w:val="00885C25"/>
    <w:rsid w:val="008862AE"/>
    <w:rsid w:val="00887896"/>
    <w:rsid w:val="00890657"/>
    <w:rsid w:val="00891BB2"/>
    <w:rsid w:val="00892D5D"/>
    <w:rsid w:val="00893243"/>
    <w:rsid w:val="008938B0"/>
    <w:rsid w:val="00894AC2"/>
    <w:rsid w:val="00896FF0"/>
    <w:rsid w:val="00897921"/>
    <w:rsid w:val="008A13AF"/>
    <w:rsid w:val="008A1F23"/>
    <w:rsid w:val="008A2252"/>
    <w:rsid w:val="008A3E45"/>
    <w:rsid w:val="008A5AF5"/>
    <w:rsid w:val="008A5D7F"/>
    <w:rsid w:val="008A732F"/>
    <w:rsid w:val="008A7D8A"/>
    <w:rsid w:val="008B0578"/>
    <w:rsid w:val="008B202C"/>
    <w:rsid w:val="008B2EBD"/>
    <w:rsid w:val="008B39E0"/>
    <w:rsid w:val="008B40A6"/>
    <w:rsid w:val="008B47C0"/>
    <w:rsid w:val="008B56B0"/>
    <w:rsid w:val="008B6559"/>
    <w:rsid w:val="008B6592"/>
    <w:rsid w:val="008C0FE1"/>
    <w:rsid w:val="008C2587"/>
    <w:rsid w:val="008C53BB"/>
    <w:rsid w:val="008C6666"/>
    <w:rsid w:val="008C6D38"/>
    <w:rsid w:val="008C6EA6"/>
    <w:rsid w:val="008D0FE2"/>
    <w:rsid w:val="008D1ADF"/>
    <w:rsid w:val="008D1E29"/>
    <w:rsid w:val="008D2AAF"/>
    <w:rsid w:val="008D2B07"/>
    <w:rsid w:val="008D30DC"/>
    <w:rsid w:val="008D38E3"/>
    <w:rsid w:val="008D3AC7"/>
    <w:rsid w:val="008D4348"/>
    <w:rsid w:val="008D48FF"/>
    <w:rsid w:val="008D67A2"/>
    <w:rsid w:val="008D6AB7"/>
    <w:rsid w:val="008D6B1C"/>
    <w:rsid w:val="008D7E16"/>
    <w:rsid w:val="008D7FD9"/>
    <w:rsid w:val="008E1C10"/>
    <w:rsid w:val="008E35C5"/>
    <w:rsid w:val="008E4DAD"/>
    <w:rsid w:val="008E634D"/>
    <w:rsid w:val="008E6BAF"/>
    <w:rsid w:val="008E705E"/>
    <w:rsid w:val="008E7442"/>
    <w:rsid w:val="008F2BEF"/>
    <w:rsid w:val="008F3D30"/>
    <w:rsid w:val="008F42C9"/>
    <w:rsid w:val="008F60C2"/>
    <w:rsid w:val="008F6D42"/>
    <w:rsid w:val="008F7332"/>
    <w:rsid w:val="008F7672"/>
    <w:rsid w:val="00900740"/>
    <w:rsid w:val="00900ABA"/>
    <w:rsid w:val="00901075"/>
    <w:rsid w:val="00903150"/>
    <w:rsid w:val="00903889"/>
    <w:rsid w:val="00904B5F"/>
    <w:rsid w:val="00905EAA"/>
    <w:rsid w:val="00907C62"/>
    <w:rsid w:val="00910465"/>
    <w:rsid w:val="00910FDC"/>
    <w:rsid w:val="009112E2"/>
    <w:rsid w:val="00913121"/>
    <w:rsid w:val="0091376D"/>
    <w:rsid w:val="009156B2"/>
    <w:rsid w:val="00915C66"/>
    <w:rsid w:val="009169E9"/>
    <w:rsid w:val="009171D6"/>
    <w:rsid w:val="00920F9E"/>
    <w:rsid w:val="00921866"/>
    <w:rsid w:val="009244A2"/>
    <w:rsid w:val="00924B92"/>
    <w:rsid w:val="00924ECF"/>
    <w:rsid w:val="00925208"/>
    <w:rsid w:val="00925638"/>
    <w:rsid w:val="00926716"/>
    <w:rsid w:val="00926E58"/>
    <w:rsid w:val="009270F3"/>
    <w:rsid w:val="0092767D"/>
    <w:rsid w:val="009306C0"/>
    <w:rsid w:val="009312C8"/>
    <w:rsid w:val="0093150C"/>
    <w:rsid w:val="0093383F"/>
    <w:rsid w:val="00933E0D"/>
    <w:rsid w:val="00934296"/>
    <w:rsid w:val="009343D0"/>
    <w:rsid w:val="009349CB"/>
    <w:rsid w:val="00935BDB"/>
    <w:rsid w:val="009369EE"/>
    <w:rsid w:val="00936C16"/>
    <w:rsid w:val="00936D4F"/>
    <w:rsid w:val="00937585"/>
    <w:rsid w:val="00940A05"/>
    <w:rsid w:val="00940D9B"/>
    <w:rsid w:val="00941E01"/>
    <w:rsid w:val="00942293"/>
    <w:rsid w:val="00943187"/>
    <w:rsid w:val="0094327E"/>
    <w:rsid w:val="00943AF1"/>
    <w:rsid w:val="00943C6E"/>
    <w:rsid w:val="00943CE3"/>
    <w:rsid w:val="0094421B"/>
    <w:rsid w:val="00945CDE"/>
    <w:rsid w:val="00945CE1"/>
    <w:rsid w:val="0094609F"/>
    <w:rsid w:val="009466C4"/>
    <w:rsid w:val="00950476"/>
    <w:rsid w:val="00950C59"/>
    <w:rsid w:val="009515D0"/>
    <w:rsid w:val="00952EE7"/>
    <w:rsid w:val="00954E49"/>
    <w:rsid w:val="00955071"/>
    <w:rsid w:val="00955368"/>
    <w:rsid w:val="00955A3B"/>
    <w:rsid w:val="009564A1"/>
    <w:rsid w:val="009566A7"/>
    <w:rsid w:val="00956A01"/>
    <w:rsid w:val="00962580"/>
    <w:rsid w:val="009631C1"/>
    <w:rsid w:val="00963717"/>
    <w:rsid w:val="00963F77"/>
    <w:rsid w:val="00965363"/>
    <w:rsid w:val="00965F5E"/>
    <w:rsid w:val="009710CC"/>
    <w:rsid w:val="009710EC"/>
    <w:rsid w:val="0097126C"/>
    <w:rsid w:val="00971658"/>
    <w:rsid w:val="009717B6"/>
    <w:rsid w:val="00974A43"/>
    <w:rsid w:val="00975759"/>
    <w:rsid w:val="009771DC"/>
    <w:rsid w:val="00977B20"/>
    <w:rsid w:val="00977C1C"/>
    <w:rsid w:val="00981BF9"/>
    <w:rsid w:val="00981C90"/>
    <w:rsid w:val="00981FB8"/>
    <w:rsid w:val="00982388"/>
    <w:rsid w:val="009823DC"/>
    <w:rsid w:val="00984F7B"/>
    <w:rsid w:val="0098596F"/>
    <w:rsid w:val="00986003"/>
    <w:rsid w:val="00986E20"/>
    <w:rsid w:val="009876C2"/>
    <w:rsid w:val="00987796"/>
    <w:rsid w:val="009900EE"/>
    <w:rsid w:val="00992DB7"/>
    <w:rsid w:val="00992E70"/>
    <w:rsid w:val="009946D6"/>
    <w:rsid w:val="00995387"/>
    <w:rsid w:val="009962DA"/>
    <w:rsid w:val="00996307"/>
    <w:rsid w:val="00996583"/>
    <w:rsid w:val="009966E9"/>
    <w:rsid w:val="00997052"/>
    <w:rsid w:val="009970B2"/>
    <w:rsid w:val="009A104B"/>
    <w:rsid w:val="009A1CE6"/>
    <w:rsid w:val="009A26EA"/>
    <w:rsid w:val="009A2DA4"/>
    <w:rsid w:val="009A4DFE"/>
    <w:rsid w:val="009A56C6"/>
    <w:rsid w:val="009A5D70"/>
    <w:rsid w:val="009A6424"/>
    <w:rsid w:val="009A6745"/>
    <w:rsid w:val="009B0834"/>
    <w:rsid w:val="009B0C76"/>
    <w:rsid w:val="009B1754"/>
    <w:rsid w:val="009B1C2A"/>
    <w:rsid w:val="009B1FD3"/>
    <w:rsid w:val="009B35AA"/>
    <w:rsid w:val="009B3766"/>
    <w:rsid w:val="009B417C"/>
    <w:rsid w:val="009B523E"/>
    <w:rsid w:val="009B6F18"/>
    <w:rsid w:val="009B7544"/>
    <w:rsid w:val="009B79FA"/>
    <w:rsid w:val="009B7E58"/>
    <w:rsid w:val="009C0668"/>
    <w:rsid w:val="009C07F3"/>
    <w:rsid w:val="009C0E90"/>
    <w:rsid w:val="009C1FCD"/>
    <w:rsid w:val="009C531A"/>
    <w:rsid w:val="009C55F9"/>
    <w:rsid w:val="009C62D7"/>
    <w:rsid w:val="009C6970"/>
    <w:rsid w:val="009C758B"/>
    <w:rsid w:val="009D012F"/>
    <w:rsid w:val="009D01F6"/>
    <w:rsid w:val="009D042B"/>
    <w:rsid w:val="009D1A59"/>
    <w:rsid w:val="009D2C76"/>
    <w:rsid w:val="009D2C83"/>
    <w:rsid w:val="009D2D76"/>
    <w:rsid w:val="009D3D79"/>
    <w:rsid w:val="009D3F79"/>
    <w:rsid w:val="009D43A5"/>
    <w:rsid w:val="009D5910"/>
    <w:rsid w:val="009D715B"/>
    <w:rsid w:val="009E02DD"/>
    <w:rsid w:val="009E1C39"/>
    <w:rsid w:val="009E29E2"/>
    <w:rsid w:val="009E3074"/>
    <w:rsid w:val="009E3E54"/>
    <w:rsid w:val="009E517B"/>
    <w:rsid w:val="009E5887"/>
    <w:rsid w:val="009E62FC"/>
    <w:rsid w:val="009E75DF"/>
    <w:rsid w:val="009F0B46"/>
    <w:rsid w:val="009F1419"/>
    <w:rsid w:val="009F1FF4"/>
    <w:rsid w:val="009F3A17"/>
    <w:rsid w:val="009F3AB8"/>
    <w:rsid w:val="009F56AC"/>
    <w:rsid w:val="009F5840"/>
    <w:rsid w:val="009F5E01"/>
    <w:rsid w:val="009F6274"/>
    <w:rsid w:val="009F62A5"/>
    <w:rsid w:val="009F6A73"/>
    <w:rsid w:val="009F7307"/>
    <w:rsid w:val="009F7497"/>
    <w:rsid w:val="009F7F82"/>
    <w:rsid w:val="00A00F6A"/>
    <w:rsid w:val="00A01003"/>
    <w:rsid w:val="00A01400"/>
    <w:rsid w:val="00A025A2"/>
    <w:rsid w:val="00A04DB2"/>
    <w:rsid w:val="00A050DF"/>
    <w:rsid w:val="00A064F0"/>
    <w:rsid w:val="00A0685B"/>
    <w:rsid w:val="00A06C68"/>
    <w:rsid w:val="00A06F42"/>
    <w:rsid w:val="00A11814"/>
    <w:rsid w:val="00A11841"/>
    <w:rsid w:val="00A120B8"/>
    <w:rsid w:val="00A12801"/>
    <w:rsid w:val="00A12A54"/>
    <w:rsid w:val="00A135CC"/>
    <w:rsid w:val="00A13F2A"/>
    <w:rsid w:val="00A15B28"/>
    <w:rsid w:val="00A162CA"/>
    <w:rsid w:val="00A20278"/>
    <w:rsid w:val="00A20C4C"/>
    <w:rsid w:val="00A20EE8"/>
    <w:rsid w:val="00A230BE"/>
    <w:rsid w:val="00A2321E"/>
    <w:rsid w:val="00A23D90"/>
    <w:rsid w:val="00A24C85"/>
    <w:rsid w:val="00A24DF1"/>
    <w:rsid w:val="00A24FCF"/>
    <w:rsid w:val="00A25478"/>
    <w:rsid w:val="00A257AF"/>
    <w:rsid w:val="00A258BE"/>
    <w:rsid w:val="00A2701F"/>
    <w:rsid w:val="00A27476"/>
    <w:rsid w:val="00A30F94"/>
    <w:rsid w:val="00A315C6"/>
    <w:rsid w:val="00A3164D"/>
    <w:rsid w:val="00A3268B"/>
    <w:rsid w:val="00A350D7"/>
    <w:rsid w:val="00A3562E"/>
    <w:rsid w:val="00A35777"/>
    <w:rsid w:val="00A360AB"/>
    <w:rsid w:val="00A4085D"/>
    <w:rsid w:val="00A40D4E"/>
    <w:rsid w:val="00A41651"/>
    <w:rsid w:val="00A41854"/>
    <w:rsid w:val="00A42ED0"/>
    <w:rsid w:val="00A431B9"/>
    <w:rsid w:val="00A43C21"/>
    <w:rsid w:val="00A45171"/>
    <w:rsid w:val="00A46112"/>
    <w:rsid w:val="00A47F4F"/>
    <w:rsid w:val="00A50854"/>
    <w:rsid w:val="00A50F0E"/>
    <w:rsid w:val="00A52437"/>
    <w:rsid w:val="00A53815"/>
    <w:rsid w:val="00A55574"/>
    <w:rsid w:val="00A5580E"/>
    <w:rsid w:val="00A55F83"/>
    <w:rsid w:val="00A567F6"/>
    <w:rsid w:val="00A57784"/>
    <w:rsid w:val="00A578B2"/>
    <w:rsid w:val="00A57BFD"/>
    <w:rsid w:val="00A60220"/>
    <w:rsid w:val="00A60F2B"/>
    <w:rsid w:val="00A611BA"/>
    <w:rsid w:val="00A61789"/>
    <w:rsid w:val="00A61AB8"/>
    <w:rsid w:val="00A62AED"/>
    <w:rsid w:val="00A63019"/>
    <w:rsid w:val="00A642A1"/>
    <w:rsid w:val="00A642EC"/>
    <w:rsid w:val="00A65985"/>
    <w:rsid w:val="00A66D61"/>
    <w:rsid w:val="00A674CF"/>
    <w:rsid w:val="00A6783C"/>
    <w:rsid w:val="00A70A82"/>
    <w:rsid w:val="00A72BB1"/>
    <w:rsid w:val="00A73326"/>
    <w:rsid w:val="00A73A07"/>
    <w:rsid w:val="00A73C18"/>
    <w:rsid w:val="00A74A62"/>
    <w:rsid w:val="00A7613C"/>
    <w:rsid w:val="00A76CE4"/>
    <w:rsid w:val="00A77AF1"/>
    <w:rsid w:val="00A77ED3"/>
    <w:rsid w:val="00A82035"/>
    <w:rsid w:val="00A82FAB"/>
    <w:rsid w:val="00A83774"/>
    <w:rsid w:val="00A83F37"/>
    <w:rsid w:val="00A84FA3"/>
    <w:rsid w:val="00A85F2B"/>
    <w:rsid w:val="00A860B9"/>
    <w:rsid w:val="00A87349"/>
    <w:rsid w:val="00A910D8"/>
    <w:rsid w:val="00A91529"/>
    <w:rsid w:val="00A91F6C"/>
    <w:rsid w:val="00A92710"/>
    <w:rsid w:val="00A9274A"/>
    <w:rsid w:val="00A93E67"/>
    <w:rsid w:val="00A9495E"/>
    <w:rsid w:val="00A94F2B"/>
    <w:rsid w:val="00AA0825"/>
    <w:rsid w:val="00AA1FE3"/>
    <w:rsid w:val="00AA42E4"/>
    <w:rsid w:val="00AA4B81"/>
    <w:rsid w:val="00AA4C1D"/>
    <w:rsid w:val="00AA5E73"/>
    <w:rsid w:val="00AA60CB"/>
    <w:rsid w:val="00AA73B8"/>
    <w:rsid w:val="00AB0BAB"/>
    <w:rsid w:val="00AB1661"/>
    <w:rsid w:val="00AB1789"/>
    <w:rsid w:val="00AB1B23"/>
    <w:rsid w:val="00AB20B4"/>
    <w:rsid w:val="00AB4C53"/>
    <w:rsid w:val="00AB6350"/>
    <w:rsid w:val="00AB6C4C"/>
    <w:rsid w:val="00AC034B"/>
    <w:rsid w:val="00AC0FF8"/>
    <w:rsid w:val="00AC1C3E"/>
    <w:rsid w:val="00AC1E2C"/>
    <w:rsid w:val="00AC2490"/>
    <w:rsid w:val="00AC289D"/>
    <w:rsid w:val="00AC4ABC"/>
    <w:rsid w:val="00AC55C9"/>
    <w:rsid w:val="00AC5799"/>
    <w:rsid w:val="00AC7590"/>
    <w:rsid w:val="00AC79FB"/>
    <w:rsid w:val="00AD02CE"/>
    <w:rsid w:val="00AD0457"/>
    <w:rsid w:val="00AD0EBC"/>
    <w:rsid w:val="00AD3F48"/>
    <w:rsid w:val="00AD5018"/>
    <w:rsid w:val="00AE10E9"/>
    <w:rsid w:val="00AE3127"/>
    <w:rsid w:val="00AE505D"/>
    <w:rsid w:val="00AE603A"/>
    <w:rsid w:val="00AE6729"/>
    <w:rsid w:val="00AE7928"/>
    <w:rsid w:val="00AE7E0F"/>
    <w:rsid w:val="00AF0A0F"/>
    <w:rsid w:val="00AF2474"/>
    <w:rsid w:val="00AF302F"/>
    <w:rsid w:val="00AF37B2"/>
    <w:rsid w:val="00AF40E1"/>
    <w:rsid w:val="00AF419B"/>
    <w:rsid w:val="00AF60D2"/>
    <w:rsid w:val="00AF65A9"/>
    <w:rsid w:val="00B00941"/>
    <w:rsid w:val="00B00F60"/>
    <w:rsid w:val="00B01ADD"/>
    <w:rsid w:val="00B01DAF"/>
    <w:rsid w:val="00B03A5F"/>
    <w:rsid w:val="00B05702"/>
    <w:rsid w:val="00B0578A"/>
    <w:rsid w:val="00B05AF3"/>
    <w:rsid w:val="00B070F2"/>
    <w:rsid w:val="00B07857"/>
    <w:rsid w:val="00B10D63"/>
    <w:rsid w:val="00B11BB2"/>
    <w:rsid w:val="00B13116"/>
    <w:rsid w:val="00B138CB"/>
    <w:rsid w:val="00B14C27"/>
    <w:rsid w:val="00B16678"/>
    <w:rsid w:val="00B168E6"/>
    <w:rsid w:val="00B17C5D"/>
    <w:rsid w:val="00B20881"/>
    <w:rsid w:val="00B21B33"/>
    <w:rsid w:val="00B23198"/>
    <w:rsid w:val="00B2333C"/>
    <w:rsid w:val="00B23DA1"/>
    <w:rsid w:val="00B253C0"/>
    <w:rsid w:val="00B253D1"/>
    <w:rsid w:val="00B2699D"/>
    <w:rsid w:val="00B27073"/>
    <w:rsid w:val="00B31FE4"/>
    <w:rsid w:val="00B32BF6"/>
    <w:rsid w:val="00B32E9C"/>
    <w:rsid w:val="00B33AD3"/>
    <w:rsid w:val="00B35327"/>
    <w:rsid w:val="00B36126"/>
    <w:rsid w:val="00B368B1"/>
    <w:rsid w:val="00B36D34"/>
    <w:rsid w:val="00B371F9"/>
    <w:rsid w:val="00B409A8"/>
    <w:rsid w:val="00B442BA"/>
    <w:rsid w:val="00B453D1"/>
    <w:rsid w:val="00B4643C"/>
    <w:rsid w:val="00B52594"/>
    <w:rsid w:val="00B530DA"/>
    <w:rsid w:val="00B54C26"/>
    <w:rsid w:val="00B54D19"/>
    <w:rsid w:val="00B54DA9"/>
    <w:rsid w:val="00B57877"/>
    <w:rsid w:val="00B57E15"/>
    <w:rsid w:val="00B608D1"/>
    <w:rsid w:val="00B6247A"/>
    <w:rsid w:val="00B629D4"/>
    <w:rsid w:val="00B6374F"/>
    <w:rsid w:val="00B63831"/>
    <w:rsid w:val="00B63BB2"/>
    <w:rsid w:val="00B63D3B"/>
    <w:rsid w:val="00B66AB4"/>
    <w:rsid w:val="00B66F6B"/>
    <w:rsid w:val="00B67471"/>
    <w:rsid w:val="00B67477"/>
    <w:rsid w:val="00B7135C"/>
    <w:rsid w:val="00B7135D"/>
    <w:rsid w:val="00B72B4B"/>
    <w:rsid w:val="00B740D4"/>
    <w:rsid w:val="00B74435"/>
    <w:rsid w:val="00B74647"/>
    <w:rsid w:val="00B757DB"/>
    <w:rsid w:val="00B75CF7"/>
    <w:rsid w:val="00B817A1"/>
    <w:rsid w:val="00B81E99"/>
    <w:rsid w:val="00B823A7"/>
    <w:rsid w:val="00B84960"/>
    <w:rsid w:val="00B86F3D"/>
    <w:rsid w:val="00B87B24"/>
    <w:rsid w:val="00B903EF"/>
    <w:rsid w:val="00B92F81"/>
    <w:rsid w:val="00B92FC7"/>
    <w:rsid w:val="00B94007"/>
    <w:rsid w:val="00B95659"/>
    <w:rsid w:val="00B957DF"/>
    <w:rsid w:val="00B97451"/>
    <w:rsid w:val="00BA1EB5"/>
    <w:rsid w:val="00BA27DC"/>
    <w:rsid w:val="00BA396A"/>
    <w:rsid w:val="00BA3ACF"/>
    <w:rsid w:val="00BA3DED"/>
    <w:rsid w:val="00BA485F"/>
    <w:rsid w:val="00BA5107"/>
    <w:rsid w:val="00BA5E10"/>
    <w:rsid w:val="00BA794C"/>
    <w:rsid w:val="00BB0316"/>
    <w:rsid w:val="00BB2026"/>
    <w:rsid w:val="00BB2304"/>
    <w:rsid w:val="00BB2809"/>
    <w:rsid w:val="00BB2939"/>
    <w:rsid w:val="00BB3642"/>
    <w:rsid w:val="00BB50B2"/>
    <w:rsid w:val="00BB51BC"/>
    <w:rsid w:val="00BB5DCF"/>
    <w:rsid w:val="00BB6C89"/>
    <w:rsid w:val="00BB7DEA"/>
    <w:rsid w:val="00BC0253"/>
    <w:rsid w:val="00BC06CA"/>
    <w:rsid w:val="00BC0776"/>
    <w:rsid w:val="00BC225D"/>
    <w:rsid w:val="00BC2A22"/>
    <w:rsid w:val="00BC2F2A"/>
    <w:rsid w:val="00BC369F"/>
    <w:rsid w:val="00BC4629"/>
    <w:rsid w:val="00BC52AA"/>
    <w:rsid w:val="00BC56F0"/>
    <w:rsid w:val="00BC63A3"/>
    <w:rsid w:val="00BD07AE"/>
    <w:rsid w:val="00BD0926"/>
    <w:rsid w:val="00BD0E3C"/>
    <w:rsid w:val="00BD2F84"/>
    <w:rsid w:val="00BD47B5"/>
    <w:rsid w:val="00BD5C58"/>
    <w:rsid w:val="00BE07BD"/>
    <w:rsid w:val="00BE09AD"/>
    <w:rsid w:val="00BE0ED5"/>
    <w:rsid w:val="00BE1106"/>
    <w:rsid w:val="00BE1733"/>
    <w:rsid w:val="00BE18D7"/>
    <w:rsid w:val="00BE21D2"/>
    <w:rsid w:val="00BE39C6"/>
    <w:rsid w:val="00BE3D13"/>
    <w:rsid w:val="00BE4525"/>
    <w:rsid w:val="00BE4602"/>
    <w:rsid w:val="00BE4956"/>
    <w:rsid w:val="00BE4B1F"/>
    <w:rsid w:val="00BE5CFD"/>
    <w:rsid w:val="00BE6478"/>
    <w:rsid w:val="00BE694E"/>
    <w:rsid w:val="00BF0A3C"/>
    <w:rsid w:val="00BF1C91"/>
    <w:rsid w:val="00BF2C86"/>
    <w:rsid w:val="00BF32CB"/>
    <w:rsid w:val="00BF3784"/>
    <w:rsid w:val="00BF435A"/>
    <w:rsid w:val="00BF4609"/>
    <w:rsid w:val="00BF4C85"/>
    <w:rsid w:val="00BF4DF6"/>
    <w:rsid w:val="00BF5080"/>
    <w:rsid w:val="00BF685B"/>
    <w:rsid w:val="00BF6BCE"/>
    <w:rsid w:val="00C00C2F"/>
    <w:rsid w:val="00C01277"/>
    <w:rsid w:val="00C0210F"/>
    <w:rsid w:val="00C02880"/>
    <w:rsid w:val="00C02BD8"/>
    <w:rsid w:val="00C02BDC"/>
    <w:rsid w:val="00C041EF"/>
    <w:rsid w:val="00C052DA"/>
    <w:rsid w:val="00C05CBE"/>
    <w:rsid w:val="00C06619"/>
    <w:rsid w:val="00C0683A"/>
    <w:rsid w:val="00C068CA"/>
    <w:rsid w:val="00C06A22"/>
    <w:rsid w:val="00C0731C"/>
    <w:rsid w:val="00C10B6F"/>
    <w:rsid w:val="00C1117B"/>
    <w:rsid w:val="00C11FEC"/>
    <w:rsid w:val="00C12AC2"/>
    <w:rsid w:val="00C13225"/>
    <w:rsid w:val="00C14FFE"/>
    <w:rsid w:val="00C1575F"/>
    <w:rsid w:val="00C15CAB"/>
    <w:rsid w:val="00C1669C"/>
    <w:rsid w:val="00C16927"/>
    <w:rsid w:val="00C17949"/>
    <w:rsid w:val="00C20096"/>
    <w:rsid w:val="00C20DA7"/>
    <w:rsid w:val="00C215C8"/>
    <w:rsid w:val="00C2315C"/>
    <w:rsid w:val="00C2557A"/>
    <w:rsid w:val="00C261AA"/>
    <w:rsid w:val="00C27CE8"/>
    <w:rsid w:val="00C31846"/>
    <w:rsid w:val="00C334D6"/>
    <w:rsid w:val="00C338B7"/>
    <w:rsid w:val="00C3420D"/>
    <w:rsid w:val="00C34CAF"/>
    <w:rsid w:val="00C40777"/>
    <w:rsid w:val="00C40F5D"/>
    <w:rsid w:val="00C416FA"/>
    <w:rsid w:val="00C42BD9"/>
    <w:rsid w:val="00C43723"/>
    <w:rsid w:val="00C43CAB"/>
    <w:rsid w:val="00C43CBE"/>
    <w:rsid w:val="00C45D67"/>
    <w:rsid w:val="00C4755A"/>
    <w:rsid w:val="00C47C3F"/>
    <w:rsid w:val="00C47CA7"/>
    <w:rsid w:val="00C52719"/>
    <w:rsid w:val="00C52D48"/>
    <w:rsid w:val="00C53560"/>
    <w:rsid w:val="00C54DE4"/>
    <w:rsid w:val="00C54DF8"/>
    <w:rsid w:val="00C55201"/>
    <w:rsid w:val="00C554B9"/>
    <w:rsid w:val="00C55AE3"/>
    <w:rsid w:val="00C57AFF"/>
    <w:rsid w:val="00C6166D"/>
    <w:rsid w:val="00C629C0"/>
    <w:rsid w:val="00C66645"/>
    <w:rsid w:val="00C672B9"/>
    <w:rsid w:val="00C70912"/>
    <w:rsid w:val="00C74D81"/>
    <w:rsid w:val="00C76257"/>
    <w:rsid w:val="00C77804"/>
    <w:rsid w:val="00C80665"/>
    <w:rsid w:val="00C82CFC"/>
    <w:rsid w:val="00C83347"/>
    <w:rsid w:val="00C83826"/>
    <w:rsid w:val="00C84BCF"/>
    <w:rsid w:val="00C86F75"/>
    <w:rsid w:val="00C86FDC"/>
    <w:rsid w:val="00C901B4"/>
    <w:rsid w:val="00C91A21"/>
    <w:rsid w:val="00C91C83"/>
    <w:rsid w:val="00C92A70"/>
    <w:rsid w:val="00C93547"/>
    <w:rsid w:val="00C93ABD"/>
    <w:rsid w:val="00C93DF0"/>
    <w:rsid w:val="00C94D6F"/>
    <w:rsid w:val="00C96B89"/>
    <w:rsid w:val="00CA071D"/>
    <w:rsid w:val="00CA0FF1"/>
    <w:rsid w:val="00CA15B8"/>
    <w:rsid w:val="00CA16A5"/>
    <w:rsid w:val="00CA1C61"/>
    <w:rsid w:val="00CA1D02"/>
    <w:rsid w:val="00CA2BAE"/>
    <w:rsid w:val="00CA2F6F"/>
    <w:rsid w:val="00CA2F8F"/>
    <w:rsid w:val="00CA3324"/>
    <w:rsid w:val="00CA3BEB"/>
    <w:rsid w:val="00CA7DD3"/>
    <w:rsid w:val="00CB0346"/>
    <w:rsid w:val="00CB1FDF"/>
    <w:rsid w:val="00CB2769"/>
    <w:rsid w:val="00CB2CFC"/>
    <w:rsid w:val="00CB2E2F"/>
    <w:rsid w:val="00CB363E"/>
    <w:rsid w:val="00CB3AB6"/>
    <w:rsid w:val="00CB3BAA"/>
    <w:rsid w:val="00CB4A47"/>
    <w:rsid w:val="00CB68F9"/>
    <w:rsid w:val="00CB7402"/>
    <w:rsid w:val="00CC0B43"/>
    <w:rsid w:val="00CC2698"/>
    <w:rsid w:val="00CC27E8"/>
    <w:rsid w:val="00CC309B"/>
    <w:rsid w:val="00CC4F64"/>
    <w:rsid w:val="00CC5145"/>
    <w:rsid w:val="00CC51A2"/>
    <w:rsid w:val="00CC594B"/>
    <w:rsid w:val="00CC5AAD"/>
    <w:rsid w:val="00CC6B78"/>
    <w:rsid w:val="00CC6ECE"/>
    <w:rsid w:val="00CC76DD"/>
    <w:rsid w:val="00CC7D4B"/>
    <w:rsid w:val="00CD109E"/>
    <w:rsid w:val="00CD237E"/>
    <w:rsid w:val="00CD3213"/>
    <w:rsid w:val="00CD4532"/>
    <w:rsid w:val="00CD4BFE"/>
    <w:rsid w:val="00CD4ECE"/>
    <w:rsid w:val="00CD56ED"/>
    <w:rsid w:val="00CD6155"/>
    <w:rsid w:val="00CD76FF"/>
    <w:rsid w:val="00CE01A6"/>
    <w:rsid w:val="00CE07A2"/>
    <w:rsid w:val="00CE16C9"/>
    <w:rsid w:val="00CE1F75"/>
    <w:rsid w:val="00CE353E"/>
    <w:rsid w:val="00CE3548"/>
    <w:rsid w:val="00CE47E2"/>
    <w:rsid w:val="00CE48CF"/>
    <w:rsid w:val="00CE5A5D"/>
    <w:rsid w:val="00CE641B"/>
    <w:rsid w:val="00CF016B"/>
    <w:rsid w:val="00CF021A"/>
    <w:rsid w:val="00CF05B9"/>
    <w:rsid w:val="00CF16DE"/>
    <w:rsid w:val="00CF30DA"/>
    <w:rsid w:val="00CF436E"/>
    <w:rsid w:val="00CF50F2"/>
    <w:rsid w:val="00CF5146"/>
    <w:rsid w:val="00CF5FDC"/>
    <w:rsid w:val="00D003FF"/>
    <w:rsid w:val="00D009E8"/>
    <w:rsid w:val="00D02264"/>
    <w:rsid w:val="00D023E6"/>
    <w:rsid w:val="00D03BA7"/>
    <w:rsid w:val="00D04E05"/>
    <w:rsid w:val="00D055DA"/>
    <w:rsid w:val="00D05808"/>
    <w:rsid w:val="00D062C4"/>
    <w:rsid w:val="00D07066"/>
    <w:rsid w:val="00D1037E"/>
    <w:rsid w:val="00D10838"/>
    <w:rsid w:val="00D134C1"/>
    <w:rsid w:val="00D15D1A"/>
    <w:rsid w:val="00D162DC"/>
    <w:rsid w:val="00D164BB"/>
    <w:rsid w:val="00D16787"/>
    <w:rsid w:val="00D170B5"/>
    <w:rsid w:val="00D20194"/>
    <w:rsid w:val="00D205B7"/>
    <w:rsid w:val="00D2224B"/>
    <w:rsid w:val="00D22342"/>
    <w:rsid w:val="00D22C0A"/>
    <w:rsid w:val="00D22EBD"/>
    <w:rsid w:val="00D23D46"/>
    <w:rsid w:val="00D2475D"/>
    <w:rsid w:val="00D24F52"/>
    <w:rsid w:val="00D2583B"/>
    <w:rsid w:val="00D25C46"/>
    <w:rsid w:val="00D25D9C"/>
    <w:rsid w:val="00D25FE0"/>
    <w:rsid w:val="00D2655F"/>
    <w:rsid w:val="00D26740"/>
    <w:rsid w:val="00D27306"/>
    <w:rsid w:val="00D31F00"/>
    <w:rsid w:val="00D32042"/>
    <w:rsid w:val="00D32C52"/>
    <w:rsid w:val="00D331CC"/>
    <w:rsid w:val="00D3354F"/>
    <w:rsid w:val="00D33BAA"/>
    <w:rsid w:val="00D33CE8"/>
    <w:rsid w:val="00D33D5B"/>
    <w:rsid w:val="00D3461D"/>
    <w:rsid w:val="00D34AE4"/>
    <w:rsid w:val="00D355D8"/>
    <w:rsid w:val="00D37BDA"/>
    <w:rsid w:val="00D37C26"/>
    <w:rsid w:val="00D37F8B"/>
    <w:rsid w:val="00D41BD3"/>
    <w:rsid w:val="00D421D7"/>
    <w:rsid w:val="00D44CF2"/>
    <w:rsid w:val="00D44F42"/>
    <w:rsid w:val="00D451A4"/>
    <w:rsid w:val="00D50E03"/>
    <w:rsid w:val="00D51E92"/>
    <w:rsid w:val="00D52667"/>
    <w:rsid w:val="00D52A85"/>
    <w:rsid w:val="00D52C5C"/>
    <w:rsid w:val="00D533AF"/>
    <w:rsid w:val="00D544BC"/>
    <w:rsid w:val="00D54B43"/>
    <w:rsid w:val="00D55E7C"/>
    <w:rsid w:val="00D55FEA"/>
    <w:rsid w:val="00D5680E"/>
    <w:rsid w:val="00D630A1"/>
    <w:rsid w:val="00D65EE7"/>
    <w:rsid w:val="00D6761E"/>
    <w:rsid w:val="00D706C5"/>
    <w:rsid w:val="00D71588"/>
    <w:rsid w:val="00D71CCB"/>
    <w:rsid w:val="00D7276B"/>
    <w:rsid w:val="00D7317A"/>
    <w:rsid w:val="00D73D04"/>
    <w:rsid w:val="00D73F98"/>
    <w:rsid w:val="00D74CEC"/>
    <w:rsid w:val="00D763E0"/>
    <w:rsid w:val="00D770BC"/>
    <w:rsid w:val="00D776E7"/>
    <w:rsid w:val="00D8033C"/>
    <w:rsid w:val="00D8078C"/>
    <w:rsid w:val="00D80B26"/>
    <w:rsid w:val="00D8141E"/>
    <w:rsid w:val="00D81539"/>
    <w:rsid w:val="00D8218F"/>
    <w:rsid w:val="00D83E40"/>
    <w:rsid w:val="00D8480C"/>
    <w:rsid w:val="00D85B45"/>
    <w:rsid w:val="00D865EA"/>
    <w:rsid w:val="00D868E3"/>
    <w:rsid w:val="00D87F85"/>
    <w:rsid w:val="00D905FA"/>
    <w:rsid w:val="00D91CBF"/>
    <w:rsid w:val="00D934F4"/>
    <w:rsid w:val="00D935AE"/>
    <w:rsid w:val="00D9401F"/>
    <w:rsid w:val="00D941E9"/>
    <w:rsid w:val="00D94365"/>
    <w:rsid w:val="00D95E87"/>
    <w:rsid w:val="00D960E8"/>
    <w:rsid w:val="00D96ACA"/>
    <w:rsid w:val="00D97F44"/>
    <w:rsid w:val="00DA06FB"/>
    <w:rsid w:val="00DA0A95"/>
    <w:rsid w:val="00DA34E7"/>
    <w:rsid w:val="00DA4516"/>
    <w:rsid w:val="00DA5AEA"/>
    <w:rsid w:val="00DA61EA"/>
    <w:rsid w:val="00DB143A"/>
    <w:rsid w:val="00DB1B6C"/>
    <w:rsid w:val="00DB1EE0"/>
    <w:rsid w:val="00DB2927"/>
    <w:rsid w:val="00DB42A7"/>
    <w:rsid w:val="00DB6075"/>
    <w:rsid w:val="00DB677A"/>
    <w:rsid w:val="00DB7399"/>
    <w:rsid w:val="00DC1203"/>
    <w:rsid w:val="00DC12AC"/>
    <w:rsid w:val="00DC130F"/>
    <w:rsid w:val="00DC3778"/>
    <w:rsid w:val="00DC3AFF"/>
    <w:rsid w:val="00DC4BA5"/>
    <w:rsid w:val="00DC53E5"/>
    <w:rsid w:val="00DC5E47"/>
    <w:rsid w:val="00DD0105"/>
    <w:rsid w:val="00DD2F8E"/>
    <w:rsid w:val="00DD341D"/>
    <w:rsid w:val="00DD5CA8"/>
    <w:rsid w:val="00DD6913"/>
    <w:rsid w:val="00DD76E2"/>
    <w:rsid w:val="00DE1651"/>
    <w:rsid w:val="00DE3F64"/>
    <w:rsid w:val="00DE43C3"/>
    <w:rsid w:val="00DE731E"/>
    <w:rsid w:val="00DE7438"/>
    <w:rsid w:val="00DE78B7"/>
    <w:rsid w:val="00DE7B47"/>
    <w:rsid w:val="00DF0322"/>
    <w:rsid w:val="00DF11B2"/>
    <w:rsid w:val="00DF1824"/>
    <w:rsid w:val="00DF4722"/>
    <w:rsid w:val="00DF6929"/>
    <w:rsid w:val="00DF764C"/>
    <w:rsid w:val="00E00655"/>
    <w:rsid w:val="00E00C8D"/>
    <w:rsid w:val="00E02586"/>
    <w:rsid w:val="00E03DE7"/>
    <w:rsid w:val="00E0479B"/>
    <w:rsid w:val="00E04926"/>
    <w:rsid w:val="00E04C5B"/>
    <w:rsid w:val="00E051F5"/>
    <w:rsid w:val="00E06004"/>
    <w:rsid w:val="00E06B3A"/>
    <w:rsid w:val="00E07C3F"/>
    <w:rsid w:val="00E10B29"/>
    <w:rsid w:val="00E11274"/>
    <w:rsid w:val="00E11AC9"/>
    <w:rsid w:val="00E11EC1"/>
    <w:rsid w:val="00E125FF"/>
    <w:rsid w:val="00E126CB"/>
    <w:rsid w:val="00E12724"/>
    <w:rsid w:val="00E13128"/>
    <w:rsid w:val="00E1408E"/>
    <w:rsid w:val="00E144EF"/>
    <w:rsid w:val="00E14F44"/>
    <w:rsid w:val="00E15213"/>
    <w:rsid w:val="00E15F04"/>
    <w:rsid w:val="00E174AA"/>
    <w:rsid w:val="00E176F4"/>
    <w:rsid w:val="00E202BF"/>
    <w:rsid w:val="00E21106"/>
    <w:rsid w:val="00E211E2"/>
    <w:rsid w:val="00E23D9F"/>
    <w:rsid w:val="00E25425"/>
    <w:rsid w:val="00E2663C"/>
    <w:rsid w:val="00E2674F"/>
    <w:rsid w:val="00E30661"/>
    <w:rsid w:val="00E308E5"/>
    <w:rsid w:val="00E3112E"/>
    <w:rsid w:val="00E326D5"/>
    <w:rsid w:val="00E336CD"/>
    <w:rsid w:val="00E34983"/>
    <w:rsid w:val="00E34A9F"/>
    <w:rsid w:val="00E34DB9"/>
    <w:rsid w:val="00E36DA5"/>
    <w:rsid w:val="00E455A4"/>
    <w:rsid w:val="00E45637"/>
    <w:rsid w:val="00E45779"/>
    <w:rsid w:val="00E45EC1"/>
    <w:rsid w:val="00E47824"/>
    <w:rsid w:val="00E5087E"/>
    <w:rsid w:val="00E51466"/>
    <w:rsid w:val="00E51A17"/>
    <w:rsid w:val="00E52E1F"/>
    <w:rsid w:val="00E53349"/>
    <w:rsid w:val="00E53F33"/>
    <w:rsid w:val="00E558F6"/>
    <w:rsid w:val="00E56278"/>
    <w:rsid w:val="00E57E84"/>
    <w:rsid w:val="00E61132"/>
    <w:rsid w:val="00E61F64"/>
    <w:rsid w:val="00E6275E"/>
    <w:rsid w:val="00E62BD8"/>
    <w:rsid w:val="00E63A4E"/>
    <w:rsid w:val="00E64FA0"/>
    <w:rsid w:val="00E654F9"/>
    <w:rsid w:val="00E706D7"/>
    <w:rsid w:val="00E709D3"/>
    <w:rsid w:val="00E70C88"/>
    <w:rsid w:val="00E70FED"/>
    <w:rsid w:val="00E72779"/>
    <w:rsid w:val="00E72FDC"/>
    <w:rsid w:val="00E761E0"/>
    <w:rsid w:val="00E777E2"/>
    <w:rsid w:val="00E8207A"/>
    <w:rsid w:val="00E8221F"/>
    <w:rsid w:val="00E825CD"/>
    <w:rsid w:val="00E828BD"/>
    <w:rsid w:val="00E84240"/>
    <w:rsid w:val="00E86775"/>
    <w:rsid w:val="00E906F0"/>
    <w:rsid w:val="00E90D07"/>
    <w:rsid w:val="00E91A5B"/>
    <w:rsid w:val="00E92B96"/>
    <w:rsid w:val="00E92F07"/>
    <w:rsid w:val="00E933A2"/>
    <w:rsid w:val="00E937D6"/>
    <w:rsid w:val="00E94E43"/>
    <w:rsid w:val="00E9607B"/>
    <w:rsid w:val="00EA0532"/>
    <w:rsid w:val="00EA0F83"/>
    <w:rsid w:val="00EA1279"/>
    <w:rsid w:val="00EA3305"/>
    <w:rsid w:val="00EA3FA7"/>
    <w:rsid w:val="00EA470E"/>
    <w:rsid w:val="00EA60E4"/>
    <w:rsid w:val="00EA6DC8"/>
    <w:rsid w:val="00EA77D6"/>
    <w:rsid w:val="00EA7825"/>
    <w:rsid w:val="00EB0A04"/>
    <w:rsid w:val="00EB1819"/>
    <w:rsid w:val="00EB1E9E"/>
    <w:rsid w:val="00EB297A"/>
    <w:rsid w:val="00EB2A09"/>
    <w:rsid w:val="00EB4A8F"/>
    <w:rsid w:val="00EC0649"/>
    <w:rsid w:val="00EC12A0"/>
    <w:rsid w:val="00EC1328"/>
    <w:rsid w:val="00EC2031"/>
    <w:rsid w:val="00EC3EF3"/>
    <w:rsid w:val="00EC505C"/>
    <w:rsid w:val="00EC5A05"/>
    <w:rsid w:val="00EC5B4A"/>
    <w:rsid w:val="00EC5FEC"/>
    <w:rsid w:val="00EC77BC"/>
    <w:rsid w:val="00ED222C"/>
    <w:rsid w:val="00ED2C83"/>
    <w:rsid w:val="00ED2D13"/>
    <w:rsid w:val="00ED3414"/>
    <w:rsid w:val="00ED3A40"/>
    <w:rsid w:val="00ED4A8D"/>
    <w:rsid w:val="00ED4E61"/>
    <w:rsid w:val="00ED5656"/>
    <w:rsid w:val="00ED61E0"/>
    <w:rsid w:val="00EE2843"/>
    <w:rsid w:val="00EE3D62"/>
    <w:rsid w:val="00EE4540"/>
    <w:rsid w:val="00EE463B"/>
    <w:rsid w:val="00EE4C96"/>
    <w:rsid w:val="00EE508A"/>
    <w:rsid w:val="00EF0E4C"/>
    <w:rsid w:val="00EF1F5F"/>
    <w:rsid w:val="00EF2C5C"/>
    <w:rsid w:val="00EF41E8"/>
    <w:rsid w:val="00EF4575"/>
    <w:rsid w:val="00EF489B"/>
    <w:rsid w:val="00EF49CE"/>
    <w:rsid w:val="00EF4ED2"/>
    <w:rsid w:val="00EF5F8D"/>
    <w:rsid w:val="00EF6067"/>
    <w:rsid w:val="00F0028B"/>
    <w:rsid w:val="00F002E3"/>
    <w:rsid w:val="00F00343"/>
    <w:rsid w:val="00F0066F"/>
    <w:rsid w:val="00F01256"/>
    <w:rsid w:val="00F01BED"/>
    <w:rsid w:val="00F045E1"/>
    <w:rsid w:val="00F05660"/>
    <w:rsid w:val="00F063BC"/>
    <w:rsid w:val="00F063E4"/>
    <w:rsid w:val="00F068E6"/>
    <w:rsid w:val="00F070EB"/>
    <w:rsid w:val="00F074E3"/>
    <w:rsid w:val="00F074F9"/>
    <w:rsid w:val="00F07C48"/>
    <w:rsid w:val="00F104CB"/>
    <w:rsid w:val="00F11C12"/>
    <w:rsid w:val="00F13268"/>
    <w:rsid w:val="00F1329B"/>
    <w:rsid w:val="00F145AE"/>
    <w:rsid w:val="00F14B94"/>
    <w:rsid w:val="00F17001"/>
    <w:rsid w:val="00F17DDB"/>
    <w:rsid w:val="00F2021B"/>
    <w:rsid w:val="00F227D6"/>
    <w:rsid w:val="00F23C82"/>
    <w:rsid w:val="00F23DBB"/>
    <w:rsid w:val="00F24CF1"/>
    <w:rsid w:val="00F25B8B"/>
    <w:rsid w:val="00F26AA5"/>
    <w:rsid w:val="00F27AE9"/>
    <w:rsid w:val="00F33513"/>
    <w:rsid w:val="00F34FB8"/>
    <w:rsid w:val="00F35681"/>
    <w:rsid w:val="00F35E1E"/>
    <w:rsid w:val="00F407AD"/>
    <w:rsid w:val="00F40836"/>
    <w:rsid w:val="00F42342"/>
    <w:rsid w:val="00F4286A"/>
    <w:rsid w:val="00F43478"/>
    <w:rsid w:val="00F4360F"/>
    <w:rsid w:val="00F44065"/>
    <w:rsid w:val="00F446D6"/>
    <w:rsid w:val="00F45627"/>
    <w:rsid w:val="00F458F0"/>
    <w:rsid w:val="00F50ACD"/>
    <w:rsid w:val="00F51E2E"/>
    <w:rsid w:val="00F52244"/>
    <w:rsid w:val="00F52718"/>
    <w:rsid w:val="00F52B3A"/>
    <w:rsid w:val="00F52C80"/>
    <w:rsid w:val="00F533D0"/>
    <w:rsid w:val="00F53448"/>
    <w:rsid w:val="00F541CA"/>
    <w:rsid w:val="00F548D2"/>
    <w:rsid w:val="00F54E41"/>
    <w:rsid w:val="00F551FE"/>
    <w:rsid w:val="00F56C2E"/>
    <w:rsid w:val="00F571FA"/>
    <w:rsid w:val="00F614BB"/>
    <w:rsid w:val="00F6166A"/>
    <w:rsid w:val="00F620BD"/>
    <w:rsid w:val="00F62AED"/>
    <w:rsid w:val="00F65439"/>
    <w:rsid w:val="00F671A9"/>
    <w:rsid w:val="00F71132"/>
    <w:rsid w:val="00F72CD9"/>
    <w:rsid w:val="00F73627"/>
    <w:rsid w:val="00F73E4A"/>
    <w:rsid w:val="00F747F4"/>
    <w:rsid w:val="00F76D3B"/>
    <w:rsid w:val="00F77580"/>
    <w:rsid w:val="00F81E0A"/>
    <w:rsid w:val="00F825D2"/>
    <w:rsid w:val="00F84E5B"/>
    <w:rsid w:val="00F86D88"/>
    <w:rsid w:val="00F90ABD"/>
    <w:rsid w:val="00F90BB3"/>
    <w:rsid w:val="00F91BAE"/>
    <w:rsid w:val="00F92418"/>
    <w:rsid w:val="00F929B3"/>
    <w:rsid w:val="00F92ABE"/>
    <w:rsid w:val="00F932AE"/>
    <w:rsid w:val="00F937A4"/>
    <w:rsid w:val="00F959FC"/>
    <w:rsid w:val="00F9630F"/>
    <w:rsid w:val="00F96A3C"/>
    <w:rsid w:val="00F97759"/>
    <w:rsid w:val="00FA3CF2"/>
    <w:rsid w:val="00FA3FF4"/>
    <w:rsid w:val="00FA4DB2"/>
    <w:rsid w:val="00FA7434"/>
    <w:rsid w:val="00FB0355"/>
    <w:rsid w:val="00FB05CF"/>
    <w:rsid w:val="00FB2735"/>
    <w:rsid w:val="00FB38BC"/>
    <w:rsid w:val="00FB50D6"/>
    <w:rsid w:val="00FB6E73"/>
    <w:rsid w:val="00FB7927"/>
    <w:rsid w:val="00FB7B71"/>
    <w:rsid w:val="00FC0BAF"/>
    <w:rsid w:val="00FC28E3"/>
    <w:rsid w:val="00FC3E54"/>
    <w:rsid w:val="00FC4988"/>
    <w:rsid w:val="00FC6F51"/>
    <w:rsid w:val="00FD09EE"/>
    <w:rsid w:val="00FD28D6"/>
    <w:rsid w:val="00FD4192"/>
    <w:rsid w:val="00FD454F"/>
    <w:rsid w:val="00FD648C"/>
    <w:rsid w:val="00FD65CC"/>
    <w:rsid w:val="00FD674B"/>
    <w:rsid w:val="00FD700C"/>
    <w:rsid w:val="00FD73AA"/>
    <w:rsid w:val="00FD7BBC"/>
    <w:rsid w:val="00FE076C"/>
    <w:rsid w:val="00FE0F18"/>
    <w:rsid w:val="00FE118C"/>
    <w:rsid w:val="00FE2A6C"/>
    <w:rsid w:val="00FE41FD"/>
    <w:rsid w:val="00FE430E"/>
    <w:rsid w:val="00FE4C50"/>
    <w:rsid w:val="00FE79E7"/>
    <w:rsid w:val="00FE7D69"/>
    <w:rsid w:val="00FF0FD2"/>
    <w:rsid w:val="00FF11B6"/>
    <w:rsid w:val="00FF1BEA"/>
    <w:rsid w:val="00FF2C6F"/>
    <w:rsid w:val="00FF31A3"/>
    <w:rsid w:val="00FF5C63"/>
    <w:rsid w:val="00FF5C73"/>
    <w:rsid w:val="00FF63C5"/>
    <w:rsid w:val="00FF6996"/>
    <w:rsid w:val="01F0BD1C"/>
    <w:rsid w:val="053EA83F"/>
    <w:rsid w:val="06166B18"/>
    <w:rsid w:val="0BA44B88"/>
    <w:rsid w:val="0C88F453"/>
    <w:rsid w:val="0CB32F91"/>
    <w:rsid w:val="0D25A9A5"/>
    <w:rsid w:val="0E9CAA81"/>
    <w:rsid w:val="0F4697C0"/>
    <w:rsid w:val="11006353"/>
    <w:rsid w:val="1163A2F5"/>
    <w:rsid w:val="1228CC23"/>
    <w:rsid w:val="13A170A6"/>
    <w:rsid w:val="15937E43"/>
    <w:rsid w:val="1941ACC2"/>
    <w:rsid w:val="1ED9D1C9"/>
    <w:rsid w:val="23D4C5F0"/>
    <w:rsid w:val="24FB503D"/>
    <w:rsid w:val="2C1C6D50"/>
    <w:rsid w:val="2D2973D3"/>
    <w:rsid w:val="39AE228F"/>
    <w:rsid w:val="3AC43489"/>
    <w:rsid w:val="3D844F53"/>
    <w:rsid w:val="3F2CAF38"/>
    <w:rsid w:val="40A983C8"/>
    <w:rsid w:val="454B140A"/>
    <w:rsid w:val="45BCEEAC"/>
    <w:rsid w:val="4C351F1D"/>
    <w:rsid w:val="4D1E2CEC"/>
    <w:rsid w:val="5E0FDA1D"/>
    <w:rsid w:val="63D8942A"/>
    <w:rsid w:val="65353287"/>
    <w:rsid w:val="67AFB1C5"/>
    <w:rsid w:val="6894FC58"/>
    <w:rsid w:val="691931C1"/>
    <w:rsid w:val="6C17EE51"/>
    <w:rsid w:val="7033ED2A"/>
    <w:rsid w:val="713D3D95"/>
    <w:rsid w:val="71B3ABE6"/>
    <w:rsid w:val="76A8AA02"/>
    <w:rsid w:val="78BC59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9E90E"/>
  <w15:docId w15:val="{91BE4D7D-BE5A-4DEB-B238-714F366FC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34" w:unhideWhenUsed="1"/>
    <w:lsdException w:name="Default Paragraph Font" w:semiHidden="1" w:uiPriority="1" w:unhideWhenUsed="1"/>
    <w:lsdException w:name="Body Text" w:semiHidden="1" w:uiPriority="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BEA"/>
    <w:pPr>
      <w:spacing w:after="0" w:line="240" w:lineRule="auto"/>
    </w:pPr>
    <w:rPr>
      <w:rFonts w:ascii="Times New Roman" w:hAnsi="Times New Roman"/>
      <w:sz w:val="24"/>
      <w:szCs w:val="24"/>
    </w:rPr>
  </w:style>
  <w:style w:type="paragraph" w:styleId="Heading1">
    <w:name w:val="heading 1"/>
    <w:basedOn w:val="Normal"/>
    <w:next w:val="BodyTextFirstIndent"/>
    <w:link w:val="Heading1Char"/>
    <w:uiPriority w:val="1"/>
    <w:qFormat/>
    <w:rsid w:val="00466DAD"/>
    <w:pPr>
      <w:keepNext/>
      <w:keepLines/>
      <w:numPr>
        <w:numId w:val="28"/>
      </w:numPr>
      <w:spacing w:line="480" w:lineRule="auto"/>
      <w:outlineLvl w:val="0"/>
    </w:pPr>
    <w:rPr>
      <w:rFonts w:ascii="Times New Roman Bold" w:eastAsiaTheme="majorEastAsia" w:hAnsi="Times New Roman Bold" w:cstheme="majorBidi"/>
      <w:b/>
      <w:bCs/>
      <w:caps/>
      <w:szCs w:val="28"/>
    </w:rPr>
  </w:style>
  <w:style w:type="paragraph" w:styleId="Heading2">
    <w:name w:val="heading 2"/>
    <w:basedOn w:val="Normal"/>
    <w:next w:val="BodyTextFirstIndent"/>
    <w:link w:val="Heading2Char"/>
    <w:uiPriority w:val="1"/>
    <w:qFormat/>
    <w:rsid w:val="00FF1BEA"/>
    <w:pPr>
      <w:keepNext/>
      <w:keepLines/>
      <w:numPr>
        <w:ilvl w:val="1"/>
        <w:numId w:val="28"/>
      </w:numPr>
      <w:spacing w:after="240"/>
      <w:outlineLvl w:val="1"/>
    </w:pPr>
    <w:rPr>
      <w:rFonts w:eastAsiaTheme="majorEastAsia" w:cstheme="majorBidi"/>
      <w:b/>
      <w:bCs/>
      <w:szCs w:val="26"/>
    </w:rPr>
  </w:style>
  <w:style w:type="paragraph" w:styleId="Heading3">
    <w:name w:val="heading 3"/>
    <w:basedOn w:val="Normal"/>
    <w:next w:val="BodyTextFirstIndent"/>
    <w:link w:val="Heading3Char"/>
    <w:uiPriority w:val="1"/>
    <w:qFormat/>
    <w:rsid w:val="00FF1BEA"/>
    <w:pPr>
      <w:keepNext/>
      <w:keepLines/>
      <w:numPr>
        <w:ilvl w:val="2"/>
        <w:numId w:val="28"/>
      </w:numPr>
      <w:spacing w:after="240"/>
      <w:outlineLvl w:val="2"/>
    </w:pPr>
    <w:rPr>
      <w:rFonts w:eastAsiaTheme="majorEastAsia" w:cstheme="majorBidi"/>
      <w:b/>
      <w:bCs/>
    </w:rPr>
  </w:style>
  <w:style w:type="paragraph" w:styleId="Heading4">
    <w:name w:val="heading 4"/>
    <w:basedOn w:val="Normal"/>
    <w:next w:val="BodyTextFirstIndent"/>
    <w:link w:val="Heading4Char"/>
    <w:uiPriority w:val="1"/>
    <w:qFormat/>
    <w:rsid w:val="00FF1BEA"/>
    <w:pPr>
      <w:keepNext/>
      <w:keepLines/>
      <w:numPr>
        <w:ilvl w:val="3"/>
        <w:numId w:val="28"/>
      </w:numPr>
      <w:spacing w:after="240"/>
      <w:outlineLvl w:val="3"/>
    </w:pPr>
    <w:rPr>
      <w:rFonts w:eastAsiaTheme="majorEastAsia" w:cstheme="majorBidi"/>
      <w:b/>
      <w:bCs/>
      <w:iCs/>
    </w:rPr>
  </w:style>
  <w:style w:type="paragraph" w:styleId="Heading5">
    <w:name w:val="heading 5"/>
    <w:basedOn w:val="Normal"/>
    <w:next w:val="BodyTextFirstIndent"/>
    <w:link w:val="Heading5Char"/>
    <w:uiPriority w:val="1"/>
    <w:qFormat/>
    <w:rsid w:val="00FF1BEA"/>
    <w:pPr>
      <w:keepNext/>
      <w:keepLines/>
      <w:numPr>
        <w:ilvl w:val="4"/>
        <w:numId w:val="28"/>
      </w:numPr>
      <w:spacing w:after="240"/>
      <w:outlineLvl w:val="4"/>
    </w:pPr>
    <w:rPr>
      <w:rFonts w:eastAsiaTheme="majorEastAsia" w:cstheme="majorBidi"/>
      <w:b/>
    </w:rPr>
  </w:style>
  <w:style w:type="paragraph" w:styleId="Heading6">
    <w:name w:val="heading 6"/>
    <w:basedOn w:val="Normal"/>
    <w:next w:val="Normal"/>
    <w:link w:val="Heading6Char"/>
    <w:uiPriority w:val="98"/>
    <w:unhideWhenUsed/>
    <w:rsid w:val="00FF1BE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8"/>
    <w:unhideWhenUsed/>
    <w:rsid w:val="00FF1BE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8"/>
    <w:unhideWhenUsed/>
    <w:rsid w:val="00FF1BE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8"/>
    <w:unhideWhenUsed/>
    <w:rsid w:val="00FF1BE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7E3875"/>
    <w:rPr>
      <w:rFonts w:ascii="Times New Roman" w:hAnsi="Times New Roman"/>
      <w:sz w:val="24"/>
    </w:rPr>
  </w:style>
  <w:style w:type="paragraph" w:styleId="Header">
    <w:name w:val="header"/>
    <w:basedOn w:val="Normal"/>
    <w:link w:val="HeaderChar"/>
    <w:uiPriority w:val="99"/>
    <w:unhideWhenUsed/>
    <w:rsid w:val="00240E24"/>
    <w:pPr>
      <w:tabs>
        <w:tab w:val="center" w:pos="4680"/>
        <w:tab w:val="right" w:pos="9360"/>
      </w:tabs>
    </w:pPr>
  </w:style>
  <w:style w:type="character" w:customStyle="1" w:styleId="HeaderChar">
    <w:name w:val="Header Char"/>
    <w:basedOn w:val="DefaultParagraphFont"/>
    <w:link w:val="Header"/>
    <w:uiPriority w:val="99"/>
    <w:rsid w:val="00240E24"/>
  </w:style>
  <w:style w:type="paragraph" w:styleId="Footer">
    <w:name w:val="footer"/>
    <w:basedOn w:val="Normal"/>
    <w:link w:val="FooterChar"/>
    <w:uiPriority w:val="99"/>
    <w:unhideWhenUsed/>
    <w:rsid w:val="00240E24"/>
    <w:pPr>
      <w:tabs>
        <w:tab w:val="center" w:pos="4680"/>
        <w:tab w:val="right" w:pos="9360"/>
      </w:tabs>
    </w:pPr>
  </w:style>
  <w:style w:type="character" w:customStyle="1" w:styleId="FooterChar">
    <w:name w:val="Footer Char"/>
    <w:basedOn w:val="DefaultParagraphFont"/>
    <w:link w:val="Footer"/>
    <w:uiPriority w:val="99"/>
    <w:rsid w:val="00240E24"/>
  </w:style>
  <w:style w:type="paragraph" w:styleId="BalloonText">
    <w:name w:val="Balloon Text"/>
    <w:basedOn w:val="Normal"/>
    <w:link w:val="BalloonTextChar"/>
    <w:uiPriority w:val="99"/>
    <w:semiHidden/>
    <w:unhideWhenUsed/>
    <w:rsid w:val="00240E24"/>
    <w:rPr>
      <w:rFonts w:ascii="Tahoma" w:hAnsi="Tahoma" w:cs="Tahoma"/>
      <w:sz w:val="16"/>
      <w:szCs w:val="16"/>
    </w:rPr>
  </w:style>
  <w:style w:type="character" w:customStyle="1" w:styleId="BalloonTextChar">
    <w:name w:val="Balloon Text Char"/>
    <w:basedOn w:val="DefaultParagraphFont"/>
    <w:link w:val="BalloonText"/>
    <w:uiPriority w:val="99"/>
    <w:semiHidden/>
    <w:rsid w:val="00240E24"/>
    <w:rPr>
      <w:rFonts w:ascii="Tahoma" w:hAnsi="Tahoma" w:cs="Tahoma"/>
      <w:sz w:val="16"/>
      <w:szCs w:val="16"/>
    </w:rPr>
  </w:style>
  <w:style w:type="paragraph" w:styleId="FootnoteText">
    <w:name w:val="footnote text"/>
    <w:basedOn w:val="Normal"/>
    <w:link w:val="FootnoteTextChar"/>
    <w:uiPriority w:val="98"/>
    <w:unhideWhenUsed/>
    <w:rsid w:val="00FF1BEA"/>
    <w:pPr>
      <w:tabs>
        <w:tab w:val="left" w:pos="360"/>
      </w:tabs>
      <w:spacing w:after="180"/>
      <w:ind w:left="360" w:hanging="360"/>
    </w:pPr>
    <w:rPr>
      <w:sz w:val="22"/>
      <w:szCs w:val="20"/>
    </w:rPr>
  </w:style>
  <w:style w:type="character" w:customStyle="1" w:styleId="FootnoteTextChar">
    <w:name w:val="Footnote Text Char"/>
    <w:basedOn w:val="DefaultParagraphFont"/>
    <w:link w:val="FootnoteText"/>
    <w:uiPriority w:val="98"/>
    <w:rsid w:val="00FF1BEA"/>
    <w:rPr>
      <w:rFonts w:ascii="Times New Roman" w:hAnsi="Times New Roman"/>
      <w:szCs w:val="20"/>
    </w:rPr>
  </w:style>
  <w:style w:type="character" w:styleId="FootnoteReference">
    <w:name w:val="footnote reference"/>
    <w:basedOn w:val="DefaultParagraphFont"/>
    <w:uiPriority w:val="99"/>
    <w:semiHidden/>
    <w:unhideWhenUsed/>
    <w:rsid w:val="00FF1BEA"/>
    <w:rPr>
      <w:vertAlign w:val="superscript"/>
    </w:rPr>
  </w:style>
  <w:style w:type="paragraph" w:styleId="ListParagraph">
    <w:name w:val="List Paragraph"/>
    <w:basedOn w:val="Normal"/>
    <w:uiPriority w:val="34"/>
    <w:qFormat/>
    <w:rsid w:val="00FF1BEA"/>
    <w:pPr>
      <w:ind w:left="720"/>
      <w:contextualSpacing/>
    </w:pPr>
  </w:style>
  <w:style w:type="paragraph" w:styleId="BodyText2">
    <w:name w:val="Body Text 2"/>
    <w:basedOn w:val="Normal"/>
    <w:link w:val="BodyText2Char"/>
    <w:rsid w:val="00FF1BEA"/>
    <w:pPr>
      <w:tabs>
        <w:tab w:val="left" w:pos="720"/>
      </w:tabs>
      <w:autoSpaceDE w:val="0"/>
      <w:autoSpaceDN w:val="0"/>
      <w:adjustRightInd w:val="0"/>
      <w:spacing w:line="480" w:lineRule="auto"/>
      <w:ind w:left="720" w:hanging="720"/>
    </w:pPr>
    <w:rPr>
      <w:rFonts w:cs="Times New Roman"/>
      <w:color w:val="000000"/>
    </w:rPr>
  </w:style>
  <w:style w:type="character" w:customStyle="1" w:styleId="BodyText2Char">
    <w:name w:val="Body Text 2 Char"/>
    <w:basedOn w:val="DefaultParagraphFont"/>
    <w:link w:val="BodyText2"/>
    <w:rsid w:val="00FF1BEA"/>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466DAD"/>
    <w:rPr>
      <w:rFonts w:ascii="Times New Roman Bold" w:eastAsiaTheme="majorEastAsia" w:hAnsi="Times New Roman Bold" w:cstheme="majorBidi"/>
      <w:b/>
      <w:bCs/>
      <w:caps/>
      <w:sz w:val="24"/>
      <w:szCs w:val="28"/>
    </w:rPr>
  </w:style>
  <w:style w:type="character" w:customStyle="1" w:styleId="Heading2Char">
    <w:name w:val="Heading 2 Char"/>
    <w:basedOn w:val="DefaultParagraphFont"/>
    <w:link w:val="Heading2"/>
    <w:uiPriority w:val="1"/>
    <w:rsid w:val="00FF1BEA"/>
    <w:rPr>
      <w:rFonts w:ascii="Times New Roman" w:eastAsiaTheme="majorEastAsia" w:hAnsi="Times New Roman" w:cstheme="majorBidi"/>
      <w:b/>
      <w:bCs/>
      <w:sz w:val="24"/>
      <w:szCs w:val="26"/>
    </w:rPr>
  </w:style>
  <w:style w:type="character" w:styleId="CommentReference">
    <w:name w:val="annotation reference"/>
    <w:basedOn w:val="DefaultParagraphFont"/>
    <w:uiPriority w:val="99"/>
    <w:semiHidden/>
    <w:unhideWhenUsed/>
    <w:rsid w:val="00FD28D6"/>
    <w:rPr>
      <w:sz w:val="16"/>
      <w:szCs w:val="16"/>
    </w:rPr>
  </w:style>
  <w:style w:type="paragraph" w:styleId="CommentText">
    <w:name w:val="annotation text"/>
    <w:basedOn w:val="Normal"/>
    <w:link w:val="CommentTextChar"/>
    <w:uiPriority w:val="99"/>
    <w:unhideWhenUsed/>
    <w:rsid w:val="00FD28D6"/>
    <w:rPr>
      <w:sz w:val="20"/>
      <w:szCs w:val="20"/>
    </w:rPr>
  </w:style>
  <w:style w:type="character" w:customStyle="1" w:styleId="CommentTextChar">
    <w:name w:val="Comment Text Char"/>
    <w:basedOn w:val="DefaultParagraphFont"/>
    <w:link w:val="CommentText"/>
    <w:uiPriority w:val="99"/>
    <w:rsid w:val="00FD28D6"/>
    <w:rPr>
      <w:sz w:val="20"/>
      <w:szCs w:val="20"/>
    </w:rPr>
  </w:style>
  <w:style w:type="paragraph" w:styleId="CommentSubject">
    <w:name w:val="annotation subject"/>
    <w:basedOn w:val="CommentText"/>
    <w:next w:val="CommentText"/>
    <w:link w:val="CommentSubjectChar"/>
    <w:uiPriority w:val="99"/>
    <w:semiHidden/>
    <w:unhideWhenUsed/>
    <w:rsid w:val="00FD28D6"/>
    <w:rPr>
      <w:b/>
      <w:bCs/>
    </w:rPr>
  </w:style>
  <w:style w:type="character" w:customStyle="1" w:styleId="CommentSubjectChar">
    <w:name w:val="Comment Subject Char"/>
    <w:basedOn w:val="CommentTextChar"/>
    <w:link w:val="CommentSubject"/>
    <w:uiPriority w:val="99"/>
    <w:semiHidden/>
    <w:rsid w:val="00FD28D6"/>
    <w:rPr>
      <w:b/>
      <w:bCs/>
      <w:sz w:val="20"/>
      <w:szCs w:val="20"/>
    </w:rPr>
  </w:style>
  <w:style w:type="paragraph" w:styleId="BodyText">
    <w:name w:val="Body Text"/>
    <w:basedOn w:val="Normal"/>
    <w:link w:val="BodyTextChar"/>
    <w:uiPriority w:val="9"/>
    <w:rsid w:val="00FF1BEA"/>
    <w:pPr>
      <w:spacing w:line="480" w:lineRule="auto"/>
      <w:ind w:left="720" w:hanging="720"/>
    </w:pPr>
    <w:rPr>
      <w:b/>
      <w:bCs/>
    </w:rPr>
  </w:style>
  <w:style w:type="character" w:customStyle="1" w:styleId="BodyTextChar">
    <w:name w:val="Body Text Char"/>
    <w:basedOn w:val="DefaultParagraphFont"/>
    <w:link w:val="BodyText"/>
    <w:uiPriority w:val="9"/>
    <w:rsid w:val="00FF1BEA"/>
    <w:rPr>
      <w:rFonts w:ascii="Times New Roman" w:hAnsi="Times New Roman"/>
      <w:b/>
      <w:bCs/>
      <w:sz w:val="24"/>
      <w:szCs w:val="24"/>
    </w:rPr>
  </w:style>
  <w:style w:type="paragraph" w:styleId="BodyText3">
    <w:name w:val="Body Text 3"/>
    <w:basedOn w:val="BodyText2"/>
    <w:link w:val="BodyText3Char"/>
    <w:uiPriority w:val="99"/>
    <w:unhideWhenUsed/>
    <w:rsid w:val="00FF1BEA"/>
    <w:pPr>
      <w:ind w:firstLine="720"/>
    </w:pPr>
  </w:style>
  <w:style w:type="character" w:customStyle="1" w:styleId="BodyText3Char">
    <w:name w:val="Body Text 3 Char"/>
    <w:basedOn w:val="DefaultParagraphFont"/>
    <w:link w:val="BodyText3"/>
    <w:uiPriority w:val="99"/>
    <w:rsid w:val="00FF1BEA"/>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1"/>
    <w:rsid w:val="00FF1BEA"/>
    <w:rPr>
      <w:rFonts w:ascii="Times New Roman" w:eastAsiaTheme="majorEastAsia" w:hAnsi="Times New Roman" w:cstheme="majorBidi"/>
      <w:b/>
      <w:bCs/>
      <w:sz w:val="24"/>
      <w:szCs w:val="24"/>
    </w:rPr>
  </w:style>
  <w:style w:type="character" w:customStyle="1" w:styleId="Heading4Char">
    <w:name w:val="Heading 4 Char"/>
    <w:basedOn w:val="DefaultParagraphFont"/>
    <w:link w:val="Heading4"/>
    <w:uiPriority w:val="1"/>
    <w:rsid w:val="00FF1BEA"/>
    <w:rPr>
      <w:rFonts w:ascii="Times New Roman" w:eastAsiaTheme="majorEastAsia" w:hAnsi="Times New Roman" w:cstheme="majorBidi"/>
      <w:b/>
      <w:bCs/>
      <w:iCs/>
      <w:sz w:val="24"/>
      <w:szCs w:val="24"/>
    </w:rPr>
  </w:style>
  <w:style w:type="character" w:customStyle="1" w:styleId="Heading5Char">
    <w:name w:val="Heading 5 Char"/>
    <w:basedOn w:val="DefaultParagraphFont"/>
    <w:link w:val="Heading5"/>
    <w:uiPriority w:val="1"/>
    <w:rsid w:val="00FF1BEA"/>
    <w:rPr>
      <w:rFonts w:ascii="Times New Roman" w:eastAsiaTheme="majorEastAsia" w:hAnsi="Times New Roman" w:cstheme="majorBidi"/>
      <w:b/>
      <w:sz w:val="24"/>
      <w:szCs w:val="24"/>
    </w:rPr>
  </w:style>
  <w:style w:type="character" w:customStyle="1" w:styleId="Heading6Char">
    <w:name w:val="Heading 6 Char"/>
    <w:basedOn w:val="DefaultParagraphFont"/>
    <w:link w:val="Heading6"/>
    <w:uiPriority w:val="98"/>
    <w:rsid w:val="00FF1BEA"/>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8"/>
    <w:rsid w:val="00FF1BEA"/>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8"/>
    <w:rsid w:val="00FF1BE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8"/>
    <w:rsid w:val="00FF1BE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F1BEA"/>
    <w:pPr>
      <w:spacing w:after="240"/>
      <w:contextualSpacing/>
      <w:jc w:val="center"/>
    </w:pPr>
    <w:rPr>
      <w:rFonts w:eastAsiaTheme="majorEastAsia" w:cstheme="majorBidi"/>
      <w:b/>
      <w:spacing w:val="5"/>
      <w:kern w:val="28"/>
      <w:szCs w:val="52"/>
    </w:rPr>
  </w:style>
  <w:style w:type="character" w:customStyle="1" w:styleId="TitleChar">
    <w:name w:val="Title Char"/>
    <w:basedOn w:val="DefaultParagraphFont"/>
    <w:link w:val="Title"/>
    <w:uiPriority w:val="10"/>
    <w:rsid w:val="00FF1BEA"/>
    <w:rPr>
      <w:rFonts w:ascii="Times New Roman" w:eastAsiaTheme="majorEastAsia" w:hAnsi="Times New Roman" w:cstheme="majorBidi"/>
      <w:b/>
      <w:spacing w:val="5"/>
      <w:kern w:val="28"/>
      <w:sz w:val="24"/>
      <w:szCs w:val="52"/>
    </w:rPr>
  </w:style>
  <w:style w:type="paragraph" w:styleId="Subtitle">
    <w:name w:val="Subtitle"/>
    <w:basedOn w:val="Normal"/>
    <w:next w:val="Normal"/>
    <w:link w:val="SubtitleChar"/>
    <w:uiPriority w:val="11"/>
    <w:qFormat/>
    <w:rsid w:val="00FF1BEA"/>
    <w:pPr>
      <w:numPr>
        <w:ilvl w:val="1"/>
      </w:numPr>
      <w:spacing w:after="240"/>
    </w:pPr>
    <w:rPr>
      <w:rFonts w:eastAsiaTheme="majorEastAsia" w:cstheme="majorBidi"/>
      <w:b/>
      <w:iCs/>
      <w:spacing w:val="15"/>
    </w:rPr>
  </w:style>
  <w:style w:type="character" w:customStyle="1" w:styleId="SubtitleChar">
    <w:name w:val="Subtitle Char"/>
    <w:basedOn w:val="DefaultParagraphFont"/>
    <w:link w:val="Subtitle"/>
    <w:uiPriority w:val="11"/>
    <w:rsid w:val="00FF1BEA"/>
    <w:rPr>
      <w:rFonts w:ascii="Times New Roman" w:eastAsiaTheme="majorEastAsia" w:hAnsi="Times New Roman" w:cstheme="majorBidi"/>
      <w:b/>
      <w:iCs/>
      <w:spacing w:val="15"/>
      <w:sz w:val="24"/>
      <w:szCs w:val="24"/>
    </w:rPr>
  </w:style>
  <w:style w:type="paragraph" w:styleId="Quote">
    <w:name w:val="Quote"/>
    <w:basedOn w:val="Normal"/>
    <w:next w:val="Normal"/>
    <w:link w:val="QuoteChar"/>
    <w:uiPriority w:val="29"/>
    <w:qFormat/>
    <w:rsid w:val="00FF1BEA"/>
    <w:pPr>
      <w:spacing w:after="240"/>
      <w:ind w:left="1440" w:right="720"/>
    </w:pPr>
    <w:rPr>
      <w:iCs/>
      <w:color w:val="000000" w:themeColor="text1"/>
    </w:rPr>
  </w:style>
  <w:style w:type="character" w:customStyle="1" w:styleId="QuoteChar">
    <w:name w:val="Quote Char"/>
    <w:basedOn w:val="DefaultParagraphFont"/>
    <w:link w:val="Quote"/>
    <w:uiPriority w:val="29"/>
    <w:rsid w:val="00FF1BEA"/>
    <w:rPr>
      <w:rFonts w:ascii="Times New Roman" w:hAnsi="Times New Roman"/>
      <w:iCs/>
      <w:color w:val="000000" w:themeColor="text1"/>
      <w:sz w:val="24"/>
      <w:szCs w:val="24"/>
    </w:rPr>
  </w:style>
  <w:style w:type="paragraph" w:styleId="BodyTextFirstIndent">
    <w:name w:val="Body Text First Indent"/>
    <w:basedOn w:val="BodyText"/>
    <w:link w:val="BodyTextFirstIndentChar"/>
    <w:uiPriority w:val="9"/>
    <w:qFormat/>
    <w:rsid w:val="00FF1BEA"/>
    <w:pPr>
      <w:ind w:firstLine="720"/>
    </w:pPr>
  </w:style>
  <w:style w:type="character" w:customStyle="1" w:styleId="BodyTextFirstIndentChar">
    <w:name w:val="Body Text First Indent Char"/>
    <w:basedOn w:val="BodyTextChar"/>
    <w:link w:val="BodyTextFirstIndent"/>
    <w:uiPriority w:val="9"/>
    <w:rsid w:val="00FF1BEA"/>
    <w:rPr>
      <w:rFonts w:ascii="Times New Roman" w:hAnsi="Times New Roman"/>
      <w:b/>
      <w:bCs/>
      <w:sz w:val="24"/>
      <w:szCs w:val="24"/>
    </w:rPr>
  </w:style>
  <w:style w:type="paragraph" w:styleId="Signature">
    <w:name w:val="Signature"/>
    <w:basedOn w:val="Normal"/>
    <w:link w:val="SignatureChar"/>
    <w:uiPriority w:val="34"/>
    <w:rsid w:val="00FF1BEA"/>
    <w:pPr>
      <w:ind w:left="4320"/>
    </w:pPr>
  </w:style>
  <w:style w:type="character" w:customStyle="1" w:styleId="SignatureChar">
    <w:name w:val="Signature Char"/>
    <w:basedOn w:val="DefaultParagraphFont"/>
    <w:link w:val="Signature"/>
    <w:uiPriority w:val="34"/>
    <w:rsid w:val="00FF1BEA"/>
    <w:rPr>
      <w:rFonts w:ascii="Times New Roman" w:hAnsi="Times New Roman"/>
      <w:sz w:val="24"/>
      <w:szCs w:val="24"/>
    </w:rPr>
  </w:style>
  <w:style w:type="paragraph" w:customStyle="1" w:styleId="Bullet0Single">
    <w:name w:val="Bullet 0 Single"/>
    <w:basedOn w:val="BodyText"/>
    <w:qFormat/>
    <w:rsid w:val="00FF1BEA"/>
    <w:pPr>
      <w:numPr>
        <w:ilvl w:val="1"/>
        <w:numId w:val="29"/>
      </w:numPr>
      <w:spacing w:line="240" w:lineRule="auto"/>
    </w:pPr>
  </w:style>
  <w:style w:type="paragraph" w:customStyle="1" w:styleId="Bullet0Double">
    <w:name w:val="Bullet 0 Double"/>
    <w:basedOn w:val="Bullet0Single"/>
    <w:qFormat/>
    <w:rsid w:val="00FF1BEA"/>
    <w:pPr>
      <w:numPr>
        <w:ilvl w:val="0"/>
      </w:numPr>
      <w:spacing w:line="480" w:lineRule="auto"/>
    </w:pPr>
  </w:style>
  <w:style w:type="paragraph" w:customStyle="1" w:styleId="Bullet5Double">
    <w:name w:val="Bullet .5 Double"/>
    <w:basedOn w:val="Bullet0Double"/>
    <w:qFormat/>
    <w:rsid w:val="00FF1BEA"/>
    <w:pPr>
      <w:numPr>
        <w:ilvl w:val="2"/>
      </w:numPr>
      <w:ind w:right="720"/>
    </w:pPr>
  </w:style>
  <w:style w:type="paragraph" w:customStyle="1" w:styleId="Bullet5Single">
    <w:name w:val="Bullet .5 Single"/>
    <w:basedOn w:val="Bullet0Single"/>
    <w:qFormat/>
    <w:rsid w:val="00FF1BEA"/>
    <w:pPr>
      <w:numPr>
        <w:ilvl w:val="3"/>
      </w:numPr>
      <w:ind w:right="720"/>
    </w:pPr>
  </w:style>
  <w:style w:type="paragraph" w:styleId="BodyTextIndent">
    <w:name w:val="Body Text Indent"/>
    <w:basedOn w:val="Normal"/>
    <w:link w:val="BodyTextIndentChar"/>
    <w:uiPriority w:val="99"/>
    <w:unhideWhenUsed/>
    <w:rsid w:val="00FF1BEA"/>
    <w:pPr>
      <w:spacing w:after="120"/>
      <w:ind w:left="360"/>
    </w:pPr>
  </w:style>
  <w:style w:type="character" w:customStyle="1" w:styleId="BodyTextIndentChar">
    <w:name w:val="Body Text Indent Char"/>
    <w:basedOn w:val="DefaultParagraphFont"/>
    <w:link w:val="BodyTextIndent"/>
    <w:uiPriority w:val="99"/>
    <w:rsid w:val="00FF1BEA"/>
    <w:rPr>
      <w:rFonts w:ascii="Times New Roman" w:hAnsi="Times New Roman"/>
      <w:sz w:val="24"/>
      <w:szCs w:val="24"/>
    </w:rPr>
  </w:style>
  <w:style w:type="paragraph" w:styleId="Revision">
    <w:name w:val="Revision"/>
    <w:hidden/>
    <w:uiPriority w:val="99"/>
    <w:semiHidden/>
    <w:rsid w:val="00EF6067"/>
    <w:pPr>
      <w:spacing w:after="0" w:line="240" w:lineRule="auto"/>
    </w:pPr>
    <w:rPr>
      <w:rFonts w:ascii="Times New Roman" w:hAnsi="Times New Roman"/>
      <w:sz w:val="24"/>
      <w:szCs w:val="24"/>
    </w:rPr>
  </w:style>
  <w:style w:type="table" w:styleId="TableGrid">
    <w:name w:val="Table Grid"/>
    <w:basedOn w:val="TableNormal"/>
    <w:uiPriority w:val="59"/>
    <w:rsid w:val="00286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6257"/>
    <w:rPr>
      <w:color w:val="0000FF" w:themeColor="hyperlink"/>
      <w:u w:val="single"/>
    </w:rPr>
  </w:style>
  <w:style w:type="character" w:styleId="UnresolvedMention">
    <w:name w:val="Unresolved Mention"/>
    <w:basedOn w:val="DefaultParagraphFont"/>
    <w:uiPriority w:val="99"/>
    <w:semiHidden/>
    <w:unhideWhenUsed/>
    <w:rsid w:val="00C76257"/>
    <w:rPr>
      <w:color w:val="605E5C"/>
      <w:shd w:val="clear" w:color="auto" w:fill="E1DFDD"/>
    </w:rPr>
  </w:style>
  <w:style w:type="character" w:styleId="Mention">
    <w:name w:val="Mention"/>
    <w:basedOn w:val="DefaultParagraphFont"/>
    <w:uiPriority w:val="99"/>
    <w:unhideWhenUsed/>
    <w:rsid w:val="001C3C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04840">
      <w:bodyDiv w:val="1"/>
      <w:marLeft w:val="0"/>
      <w:marRight w:val="0"/>
      <w:marTop w:val="0"/>
      <w:marBottom w:val="0"/>
      <w:divBdr>
        <w:top w:val="none" w:sz="0" w:space="0" w:color="auto"/>
        <w:left w:val="none" w:sz="0" w:space="0" w:color="auto"/>
        <w:bottom w:val="none" w:sz="0" w:space="0" w:color="auto"/>
        <w:right w:val="none" w:sz="0" w:space="0" w:color="auto"/>
      </w:divBdr>
    </w:div>
    <w:div w:id="382756658">
      <w:bodyDiv w:val="1"/>
      <w:marLeft w:val="0"/>
      <w:marRight w:val="0"/>
      <w:marTop w:val="0"/>
      <w:marBottom w:val="0"/>
      <w:divBdr>
        <w:top w:val="none" w:sz="0" w:space="0" w:color="auto"/>
        <w:left w:val="none" w:sz="0" w:space="0" w:color="auto"/>
        <w:bottom w:val="none" w:sz="0" w:space="0" w:color="auto"/>
        <w:right w:val="none" w:sz="0" w:space="0" w:color="auto"/>
      </w:divBdr>
    </w:div>
    <w:div w:id="909578752">
      <w:bodyDiv w:val="1"/>
      <w:marLeft w:val="0"/>
      <w:marRight w:val="0"/>
      <w:marTop w:val="0"/>
      <w:marBottom w:val="0"/>
      <w:divBdr>
        <w:top w:val="none" w:sz="0" w:space="0" w:color="auto"/>
        <w:left w:val="none" w:sz="0" w:space="0" w:color="auto"/>
        <w:bottom w:val="none" w:sz="0" w:space="0" w:color="auto"/>
        <w:right w:val="none" w:sz="0" w:space="0" w:color="auto"/>
      </w:divBdr>
    </w:div>
    <w:div w:id="1147743914">
      <w:bodyDiv w:val="1"/>
      <w:marLeft w:val="0"/>
      <w:marRight w:val="0"/>
      <w:marTop w:val="0"/>
      <w:marBottom w:val="0"/>
      <w:divBdr>
        <w:top w:val="none" w:sz="0" w:space="0" w:color="auto"/>
        <w:left w:val="none" w:sz="0" w:space="0" w:color="auto"/>
        <w:bottom w:val="none" w:sz="0" w:space="0" w:color="auto"/>
        <w:right w:val="none" w:sz="0" w:space="0" w:color="auto"/>
      </w:divBdr>
    </w:div>
    <w:div w:id="1233929275">
      <w:bodyDiv w:val="1"/>
      <w:marLeft w:val="0"/>
      <w:marRight w:val="0"/>
      <w:marTop w:val="0"/>
      <w:marBottom w:val="0"/>
      <w:divBdr>
        <w:top w:val="none" w:sz="0" w:space="0" w:color="auto"/>
        <w:left w:val="none" w:sz="0" w:space="0" w:color="auto"/>
        <w:bottom w:val="none" w:sz="0" w:space="0" w:color="auto"/>
        <w:right w:val="none" w:sz="0" w:space="0" w:color="auto"/>
      </w:divBdr>
    </w:div>
    <w:div w:id="1512646623">
      <w:bodyDiv w:val="1"/>
      <w:marLeft w:val="0"/>
      <w:marRight w:val="0"/>
      <w:marTop w:val="0"/>
      <w:marBottom w:val="0"/>
      <w:divBdr>
        <w:top w:val="none" w:sz="0" w:space="0" w:color="auto"/>
        <w:left w:val="none" w:sz="0" w:space="0" w:color="auto"/>
        <w:bottom w:val="none" w:sz="0" w:space="0" w:color="auto"/>
        <w:right w:val="none" w:sz="0" w:space="0" w:color="auto"/>
      </w:divBdr>
    </w:div>
    <w:div w:id="1581913947">
      <w:bodyDiv w:val="1"/>
      <w:marLeft w:val="0"/>
      <w:marRight w:val="0"/>
      <w:marTop w:val="0"/>
      <w:marBottom w:val="0"/>
      <w:divBdr>
        <w:top w:val="none" w:sz="0" w:space="0" w:color="auto"/>
        <w:left w:val="none" w:sz="0" w:space="0" w:color="auto"/>
        <w:bottom w:val="none" w:sz="0" w:space="0" w:color="auto"/>
        <w:right w:val="none" w:sz="0" w:space="0" w:color="auto"/>
      </w:divBdr>
    </w:div>
    <w:div w:id="212418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6786B9FA4370141B65974482BA8AB61" ma:contentTypeVersion="19" ma:contentTypeDescription="Create a new document." ma:contentTypeScope="" ma:versionID="c58e5ee239d62a4654d186e72e059171">
  <xsd:schema xmlns:xsd="http://www.w3.org/2001/XMLSchema" xmlns:xs="http://www.w3.org/2001/XMLSchema" xmlns:p="http://schemas.microsoft.com/office/2006/metadata/properties" xmlns:ns2="57bc06a4-be90-4270-adeb-72dff3d90fbf" xmlns:ns3="6996a22d-2c4c-4c46-8266-62bff0c00b3b" targetNamespace="http://schemas.microsoft.com/office/2006/metadata/properties" ma:root="true" ma:fieldsID="c1bdad7fefff6350a984da54372a7afc" ns2:_="" ns3:_="">
    <xsd:import namespace="57bc06a4-be90-4270-adeb-72dff3d90fbf"/>
    <xsd:import namespace="6996a22d-2c4c-4c46-8266-62bff0c00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c06a4-be90-4270-adeb-72dff3d90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description="Status of the document" ma:format="Dropdown" ma:internalName="Status">
      <xsd:simpleType>
        <xsd:restriction base="dms:Choice">
          <xsd:enumeration value="Approved Legal"/>
          <xsd:enumeration value="Chuck Approval Required"/>
          <xsd:enumeration value="CM Approved"/>
          <xsd:enumeration value="Complete - Ready to Post"/>
          <xsd:enumeration value="Delete"/>
          <xsd:enumeration value="Do Not Send"/>
          <xsd:enumeration value="Final"/>
          <xsd:enumeration value="In Progress"/>
          <xsd:enumeration value="Ready for CM Review"/>
          <xsd:enumeration value="Response Pending"/>
          <xsd:enumeration value="Supplemental"/>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99c8f0f-62e3-48c7-84e8-4daf5ce6c2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96a22d-2c4c-4c46-8266-62bff0c00b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d0a87e5-e773-43ee-a32a-25f1b6bab685}" ma:internalName="TaxCatchAll" ma:showField="CatchAllData" ma:web="6996a22d-2c4c-4c46-8266-62bff0c00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57bc06a4-be90-4270-adeb-72dff3d90fbf" xsi:nil="true"/>
    <TaxCatchAll xmlns="6996a22d-2c4c-4c46-8266-62bff0c00b3b" xsi:nil="true"/>
    <lcf76f155ced4ddcb4097134ff3c332f xmlns="57bc06a4-be90-4270-adeb-72dff3d90fb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CEF96E-CC0D-450E-BB09-D2891AA76C59}">
  <ds:schemaRefs>
    <ds:schemaRef ds:uri="http://schemas.openxmlformats.org/officeDocument/2006/bibliography"/>
  </ds:schemaRefs>
</ds:datastoreItem>
</file>

<file path=customXml/itemProps2.xml><?xml version="1.0" encoding="utf-8"?>
<ds:datastoreItem xmlns:ds="http://schemas.openxmlformats.org/officeDocument/2006/customXml" ds:itemID="{A7469B63-9515-41EE-A2B5-34ACF4513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c06a4-be90-4270-adeb-72dff3d90fbf"/>
    <ds:schemaRef ds:uri="6996a22d-2c4c-4c46-8266-62bff0c00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BF9140-4325-4BC0-B388-15537D123A1B}">
  <ds:schemaRefs>
    <ds:schemaRef ds:uri="http://schemas.microsoft.com/office/2006/metadata/properties"/>
    <ds:schemaRef ds:uri="http://schemas.microsoft.com/office/infopath/2007/PartnerControls"/>
    <ds:schemaRef ds:uri="57bc06a4-be90-4270-adeb-72dff3d90fbf"/>
    <ds:schemaRef ds:uri="6996a22d-2c4c-4c46-8266-62bff0c00b3b"/>
  </ds:schemaRefs>
</ds:datastoreItem>
</file>

<file path=customXml/itemProps4.xml><?xml version="1.0" encoding="utf-8"?>
<ds:datastoreItem xmlns:ds="http://schemas.openxmlformats.org/officeDocument/2006/customXml" ds:itemID="{F5288919-935F-487D-A209-B2D055C88F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19</Pages>
  <Words>3932</Words>
  <Characters>21630</Characters>
  <Application>Microsoft Office Word</Application>
  <DocSecurity>0</DocSecurity>
  <Lines>460</Lines>
  <Paragraphs>172</Paragraphs>
  <ScaleCrop>false</ScaleCrop>
  <HeadingPairs>
    <vt:vector size="2" baseType="variant">
      <vt:variant>
        <vt:lpstr>Title</vt:lpstr>
      </vt:variant>
      <vt:variant>
        <vt:i4>1</vt:i4>
      </vt:variant>
    </vt:vector>
  </HeadingPairs>
  <TitlesOfParts>
    <vt:vector size="1" baseType="lpstr">
      <vt:lpstr/>
    </vt:vector>
  </TitlesOfParts>
  <Company>Sempra Energy</Company>
  <LinksUpToDate>false</LinksUpToDate>
  <CharactersWithSpaces>25390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Ruzzo, Michael P</dc:creator>
  <cp:keywords/>
  <dc:description/>
  <cp:lastModifiedBy>Guardado, Mindy R</cp:lastModifiedBy>
  <cp:revision>44</cp:revision>
  <cp:lastPrinted>2017-07-13T21:49:00Z</cp:lastPrinted>
  <dcterms:created xsi:type="dcterms:W3CDTF">2026-09-23T18:46:00Z</dcterms:created>
  <dcterms:modified xsi:type="dcterms:W3CDTF">2026-09-30T18:35:00Z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0d07bcb-e5fb-45b7-a6bb-e2c7c68c41db_Removed">
    <vt:lpwstr>False</vt:lpwstr>
  </property>
  <property fmtid="{D5CDD505-2E9C-101B-9397-08002B2CF9AE}" pid="3" name="MSIP_Label_f0d07bcb-e5fb-45b7-a6bb-e2c7c68c41db_ActionId">
    <vt:lpwstr>a284ce7a-3f0f-4ed2-964d-90724c9f1700</vt:lpwstr>
  </property>
  <property fmtid="{D5CDD505-2E9C-101B-9397-08002B2CF9AE}" pid="4" name="MSIP_Label_f0d07bcb-e5fb-45b7-a6bb-e2c7c68c41db_Name">
    <vt:lpwstr>Confidential</vt:lpwstr>
  </property>
  <property fmtid="{D5CDD505-2E9C-101B-9397-08002B2CF9AE}" pid="5" name="MSIP_Label_f0d07bcb-e5fb-45b7-a6bb-e2c7c68c41db_SetDate">
    <vt:lpwstr>2026-09-08T16:55:00Z</vt:lpwstr>
  </property>
  <property fmtid="{D5CDD505-2E9C-101B-9397-08002B2CF9AE}" pid="6" name="MSIP_Label_f0d07bcb-e5fb-45b7-a6bb-e2c7c68c41db_SiteId">
    <vt:lpwstr>a2e7980c-11ea-4838-8f1a-2f497d8c4072</vt:lpwstr>
  </property>
  <property fmtid="{D5CDD505-2E9C-101B-9397-08002B2CF9AE}" pid="7" name="MSIP_Label_f0d07bcb-e5fb-45b7-a6bb-e2c7c68c41db_Enabled">
    <vt:lpwstr>True</vt:lpwstr>
  </property>
  <property fmtid="{D5CDD505-2E9C-101B-9397-08002B2CF9AE}" pid="8" name="MSIP_Label_f0d07bcb-e5fb-45b7-a6bb-e2c7c68c41db_Extended_MSFT_Method">
    <vt:lpwstr>Standard</vt:lpwstr>
  </property>
  <property fmtid="{D5CDD505-2E9C-101B-9397-08002B2CF9AE}" pid="9" name="Sensitivity">
    <vt:lpwstr>Confidential</vt:lpwstr>
  </property>
  <property fmtid="{D5CDD505-2E9C-101B-9397-08002B2CF9AE}" pid="10" name="ContentTypeId">
    <vt:lpwstr>0x010100D6786B9FA4370141B65974482BA8AB61</vt:lpwstr>
  </property>
  <property fmtid="{D5CDD505-2E9C-101B-9397-08002B2CF9AE}" pid="11" name="docLang">
    <vt:lpwstr>en</vt:lpwstr>
  </property>
  <property fmtid="{D5CDD505-2E9C-101B-9397-08002B2CF9AE}" pid="12" name="MediaServiceImageTags">
    <vt:lpwstr/>
  </property>
</Properties>
</file>